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0172"/>
      </w:tblGrid>
      <w:tr w:rsidR="00480296" w:rsidRPr="00C45431" w:rsidTr="00205A42">
        <w:trPr>
          <w:trHeight w:val="2665"/>
        </w:trPr>
        <w:tc>
          <w:tcPr>
            <w:tcW w:w="9854" w:type="dxa"/>
          </w:tcPr>
          <w:p w:rsidR="007B2725" w:rsidRDefault="0088129F" w:rsidP="00205A42">
            <w:pPr>
              <w:keepNext/>
            </w:pPr>
            <w:r>
              <w:rPr>
                <w:noProof/>
              </w:rPr>
              <w:drawing>
                <wp:inline distT="0" distB="0" distL="0" distR="0" wp14:anchorId="09CB01BB" wp14:editId="4C0E0F97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205A42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205A42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205A42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85392">
        <w:rPr>
          <w:sz w:val="28"/>
        </w:rPr>
        <w:t xml:space="preserve">11.01.2021  </w:t>
      </w:r>
      <w:r>
        <w:rPr>
          <w:sz w:val="28"/>
        </w:rPr>
        <w:t xml:space="preserve">№ </w:t>
      </w:r>
      <w:r w:rsidR="00285392">
        <w:rPr>
          <w:sz w:val="28"/>
        </w:rPr>
        <w:t>2-</w:t>
      </w:r>
      <w:r w:rsidR="00036E84">
        <w:rPr>
          <w:sz w:val="28"/>
        </w:rPr>
        <w:t>р</w:t>
      </w:r>
    </w:p>
    <w:p w:rsidR="00561719" w:rsidRDefault="00561719" w:rsidP="00205A42">
      <w:pPr>
        <w:ind w:left="567"/>
        <w:rPr>
          <w:sz w:val="28"/>
        </w:rPr>
      </w:pPr>
    </w:p>
    <w:p w:rsidR="00C12125" w:rsidRPr="00831523" w:rsidRDefault="00C12125" w:rsidP="00205A42">
      <w:pPr>
        <w:ind w:right="4818"/>
        <w:jc w:val="both"/>
        <w:rPr>
          <w:sz w:val="28"/>
          <w:szCs w:val="28"/>
        </w:rPr>
      </w:pPr>
      <w:r w:rsidRPr="00831523">
        <w:rPr>
          <w:sz w:val="28"/>
          <w:szCs w:val="28"/>
        </w:rPr>
        <w:t>О мерах по администрированию дох</w:t>
      </w:r>
      <w:r w:rsidRPr="00831523">
        <w:rPr>
          <w:sz w:val="28"/>
          <w:szCs w:val="28"/>
        </w:rPr>
        <w:t>о</w:t>
      </w:r>
      <w:r w:rsidRPr="00831523">
        <w:rPr>
          <w:sz w:val="28"/>
          <w:szCs w:val="28"/>
        </w:rPr>
        <w:t>дов, поступающих в бюджет Волгогр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да из бюджета Волгоградской о</w:t>
      </w:r>
      <w:r w:rsidRPr="00831523">
        <w:rPr>
          <w:sz w:val="28"/>
          <w:szCs w:val="28"/>
        </w:rPr>
        <w:t>б</w:t>
      </w:r>
      <w:r w:rsidRPr="00831523">
        <w:rPr>
          <w:sz w:val="28"/>
          <w:szCs w:val="28"/>
        </w:rPr>
        <w:t>ласти в форме иного межбюджетного тран</w:t>
      </w:r>
      <w:r w:rsidRPr="00831523">
        <w:rPr>
          <w:sz w:val="28"/>
          <w:szCs w:val="28"/>
        </w:rPr>
        <w:t>с</w:t>
      </w:r>
      <w:r w:rsidRPr="00831523">
        <w:rPr>
          <w:sz w:val="28"/>
          <w:szCs w:val="28"/>
        </w:rPr>
        <w:t>ферта, имеющего целевое назн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чение, на обеспечение выплат ежем</w:t>
      </w:r>
      <w:r w:rsidRPr="00831523">
        <w:rPr>
          <w:sz w:val="28"/>
          <w:szCs w:val="28"/>
        </w:rPr>
        <w:t>е</w:t>
      </w:r>
      <w:r w:rsidRPr="00831523">
        <w:rPr>
          <w:sz w:val="28"/>
          <w:szCs w:val="28"/>
        </w:rPr>
        <w:t>сячного денежного вознаграждения за классное руководство педагогическим работн</w:t>
      </w:r>
      <w:r w:rsidRPr="00831523">
        <w:rPr>
          <w:sz w:val="28"/>
          <w:szCs w:val="28"/>
        </w:rPr>
        <w:t>и</w:t>
      </w:r>
      <w:bookmarkStart w:id="0" w:name="_GoBack"/>
      <w:bookmarkEnd w:id="0"/>
      <w:r w:rsidRPr="00831523">
        <w:rPr>
          <w:sz w:val="28"/>
          <w:szCs w:val="28"/>
        </w:rPr>
        <w:t>кам муниципальных образов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тельных организаций Волгоградской области, реализующих образовательные пр</w:t>
      </w:r>
      <w:r w:rsidRPr="00831523">
        <w:rPr>
          <w:sz w:val="28"/>
          <w:szCs w:val="28"/>
        </w:rPr>
        <w:t>о</w:t>
      </w:r>
      <w:r w:rsidRPr="00831523">
        <w:rPr>
          <w:sz w:val="28"/>
          <w:szCs w:val="28"/>
        </w:rPr>
        <w:t>граммы начального общего, о</w:t>
      </w:r>
      <w:r w:rsidRPr="00831523">
        <w:rPr>
          <w:sz w:val="28"/>
          <w:szCs w:val="28"/>
        </w:rPr>
        <w:t>с</w:t>
      </w:r>
      <w:r w:rsidRPr="00831523">
        <w:rPr>
          <w:sz w:val="28"/>
          <w:szCs w:val="28"/>
        </w:rPr>
        <w:t>новного общего и среднего общего образов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ния, в том числе адаптированные основные общеобразовательные пр</w:t>
      </w:r>
      <w:r w:rsidRPr="00831523">
        <w:rPr>
          <w:sz w:val="28"/>
          <w:szCs w:val="28"/>
        </w:rPr>
        <w:t>о</w:t>
      </w:r>
      <w:r w:rsidRPr="00831523">
        <w:rPr>
          <w:sz w:val="28"/>
          <w:szCs w:val="28"/>
        </w:rPr>
        <w:t>граммы</w:t>
      </w:r>
    </w:p>
    <w:p w:rsidR="00C12125" w:rsidRPr="00831523" w:rsidRDefault="00C12125" w:rsidP="00205A42">
      <w:pPr>
        <w:ind w:left="567"/>
        <w:jc w:val="both"/>
        <w:rPr>
          <w:strike/>
          <w:sz w:val="28"/>
          <w:szCs w:val="28"/>
        </w:rPr>
      </w:pPr>
    </w:p>
    <w:p w:rsidR="00C12125" w:rsidRPr="00831523" w:rsidRDefault="00C12125" w:rsidP="00205A42">
      <w:pPr>
        <w:ind w:left="567"/>
        <w:jc w:val="both"/>
        <w:rPr>
          <w:color w:val="000000"/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rStyle w:val="ae"/>
          <w:color w:val="000000"/>
          <w:sz w:val="28"/>
          <w:szCs w:val="28"/>
        </w:rPr>
      </w:pPr>
      <w:r w:rsidRPr="00831523">
        <w:rPr>
          <w:color w:val="000000"/>
          <w:sz w:val="28"/>
          <w:szCs w:val="28"/>
        </w:rPr>
        <w:t xml:space="preserve">В соответствии с Бюджетным кодексом Российской Федерации, в целях </w:t>
      </w:r>
      <w:r w:rsidRPr="00831523">
        <w:rPr>
          <w:color w:val="000000"/>
          <w:spacing w:val="-4"/>
          <w:sz w:val="28"/>
          <w:szCs w:val="28"/>
        </w:rPr>
        <w:t xml:space="preserve">реализации постановления </w:t>
      </w:r>
      <w:r w:rsidRPr="00831523">
        <w:rPr>
          <w:color w:val="000000"/>
          <w:sz w:val="28"/>
          <w:szCs w:val="28"/>
        </w:rPr>
        <w:t>Администрации Волгоградской области от 30 октября 2017 г. № 574-п «Об утверждении государственной программы Во</w:t>
      </w:r>
      <w:r w:rsidRPr="00831523">
        <w:rPr>
          <w:color w:val="000000"/>
          <w:sz w:val="28"/>
          <w:szCs w:val="28"/>
        </w:rPr>
        <w:t>л</w:t>
      </w:r>
      <w:r w:rsidRPr="00831523">
        <w:rPr>
          <w:color w:val="000000"/>
          <w:sz w:val="28"/>
          <w:szCs w:val="28"/>
        </w:rPr>
        <w:t xml:space="preserve">гоградской области «Развитие образования в Волгоградской области», </w:t>
      </w:r>
      <w:r w:rsidRPr="00831523">
        <w:rPr>
          <w:sz w:val="28"/>
          <w:szCs w:val="28"/>
        </w:rPr>
        <w:t>руково</w:t>
      </w:r>
      <w:r w:rsidRPr="00831523">
        <w:rPr>
          <w:sz w:val="28"/>
          <w:szCs w:val="28"/>
        </w:rPr>
        <w:t>д</w:t>
      </w:r>
      <w:r w:rsidRPr="00831523">
        <w:rPr>
          <w:sz w:val="28"/>
          <w:szCs w:val="28"/>
        </w:rPr>
        <w:t>ствуясь ст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тьями 7, 39 Устава города-героя Волгограда:</w:t>
      </w: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1523">
        <w:rPr>
          <w:sz w:val="28"/>
          <w:szCs w:val="28"/>
        </w:rPr>
        <w:t>1. Утвердить прилагаемый Порядок взаимодействия структурных подра</w:t>
      </w:r>
      <w:r w:rsidRPr="00831523">
        <w:rPr>
          <w:sz w:val="28"/>
          <w:szCs w:val="28"/>
        </w:rPr>
        <w:t>з</w:t>
      </w:r>
      <w:r w:rsidRPr="00831523">
        <w:rPr>
          <w:sz w:val="28"/>
          <w:szCs w:val="28"/>
        </w:rPr>
        <w:t>делений администрации Волгограда при расходовании средств бюджета Волг</w:t>
      </w:r>
      <w:r w:rsidRPr="00831523">
        <w:rPr>
          <w:sz w:val="28"/>
          <w:szCs w:val="28"/>
        </w:rPr>
        <w:t>о</w:t>
      </w:r>
      <w:r w:rsidRPr="00831523">
        <w:rPr>
          <w:sz w:val="28"/>
          <w:szCs w:val="28"/>
        </w:rPr>
        <w:t>града, полученных в форме иного межбюджетного трансферта, имеющего ц</w:t>
      </w:r>
      <w:r w:rsidRPr="00831523">
        <w:rPr>
          <w:sz w:val="28"/>
          <w:szCs w:val="28"/>
        </w:rPr>
        <w:t>е</w:t>
      </w:r>
      <w:r w:rsidRPr="00831523">
        <w:rPr>
          <w:sz w:val="28"/>
          <w:szCs w:val="28"/>
        </w:rPr>
        <w:t>левое назначение, из бюджета субъекта Российской Федерации местному бю</w:t>
      </w:r>
      <w:r w:rsidRPr="00831523">
        <w:rPr>
          <w:sz w:val="28"/>
          <w:szCs w:val="28"/>
        </w:rPr>
        <w:t>д</w:t>
      </w:r>
      <w:r w:rsidRPr="00831523">
        <w:rPr>
          <w:sz w:val="28"/>
          <w:szCs w:val="28"/>
        </w:rPr>
        <w:t>жету на обеспечение выплат ежемесячного денежного вознаграждения за кла</w:t>
      </w:r>
      <w:r w:rsidRPr="00831523">
        <w:rPr>
          <w:sz w:val="28"/>
          <w:szCs w:val="28"/>
        </w:rPr>
        <w:t>с</w:t>
      </w:r>
      <w:r w:rsidRPr="00831523">
        <w:rPr>
          <w:sz w:val="28"/>
          <w:szCs w:val="28"/>
        </w:rPr>
        <w:t>сное руководство педагогическим работникам муниципальных образовател</w:t>
      </w:r>
      <w:r w:rsidRPr="00831523">
        <w:rPr>
          <w:sz w:val="28"/>
          <w:szCs w:val="28"/>
        </w:rPr>
        <w:t>ь</w:t>
      </w:r>
      <w:r w:rsidRPr="00831523">
        <w:rPr>
          <w:sz w:val="28"/>
          <w:szCs w:val="28"/>
        </w:rPr>
        <w:t>ных организаций Волгоградской области, реализующих образовательные пр</w:t>
      </w:r>
      <w:r w:rsidRPr="00831523">
        <w:rPr>
          <w:sz w:val="28"/>
          <w:szCs w:val="28"/>
        </w:rPr>
        <w:t>о</w:t>
      </w:r>
      <w:r w:rsidRPr="00831523">
        <w:rPr>
          <w:sz w:val="28"/>
          <w:szCs w:val="28"/>
        </w:rPr>
        <w:t>граммы начального общего, основного общего и среднего общего образов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ния, в том числе адаптированные основные общеобразовательные программы (далее – иной межбюджетный тран</w:t>
      </w:r>
      <w:r w:rsidRPr="00831523">
        <w:rPr>
          <w:sz w:val="28"/>
          <w:szCs w:val="28"/>
        </w:rPr>
        <w:t>с</w:t>
      </w:r>
      <w:r w:rsidRPr="00831523">
        <w:rPr>
          <w:sz w:val="28"/>
          <w:szCs w:val="28"/>
        </w:rPr>
        <w:t>ферт).</w:t>
      </w: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1523">
        <w:rPr>
          <w:sz w:val="28"/>
          <w:szCs w:val="28"/>
        </w:rPr>
        <w:t>2. Департаменту по образованию администрации Волгограда обесп</w:t>
      </w:r>
      <w:r w:rsidRPr="00831523">
        <w:rPr>
          <w:sz w:val="28"/>
          <w:szCs w:val="28"/>
        </w:rPr>
        <w:t>е</w:t>
      </w:r>
      <w:r w:rsidRPr="00831523">
        <w:rPr>
          <w:sz w:val="28"/>
          <w:szCs w:val="28"/>
        </w:rPr>
        <w:t>чить:</w:t>
      </w: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31523">
        <w:rPr>
          <w:sz w:val="28"/>
          <w:szCs w:val="28"/>
        </w:rPr>
        <w:lastRenderedPageBreak/>
        <w:t>2.1. Как главному администрат</w:t>
      </w:r>
      <w:r w:rsidR="00831523">
        <w:rPr>
          <w:sz w:val="28"/>
          <w:szCs w:val="28"/>
        </w:rPr>
        <w:t>ору доходов бюджета Волгограда</w:t>
      </w:r>
      <w:r w:rsidRPr="00831523">
        <w:rPr>
          <w:sz w:val="28"/>
          <w:szCs w:val="28"/>
        </w:rPr>
        <w:t xml:space="preserve"> реализ</w:t>
      </w:r>
      <w:r w:rsidRPr="00831523">
        <w:rPr>
          <w:sz w:val="28"/>
          <w:szCs w:val="28"/>
        </w:rPr>
        <w:t>а</w:t>
      </w:r>
      <w:r w:rsidRPr="00831523">
        <w:rPr>
          <w:sz w:val="28"/>
          <w:szCs w:val="28"/>
        </w:rPr>
        <w:t>цию</w:t>
      </w:r>
      <w:r w:rsidRPr="00831523">
        <w:rPr>
          <w:color w:val="000000"/>
          <w:sz w:val="28"/>
          <w:szCs w:val="28"/>
        </w:rPr>
        <w:t xml:space="preserve"> бюджетных полномочий главного администратора доходов бюджета </w:t>
      </w:r>
      <w:r w:rsidR="00831523">
        <w:rPr>
          <w:color w:val="000000"/>
          <w:sz w:val="28"/>
          <w:szCs w:val="28"/>
        </w:rPr>
        <w:br/>
      </w:r>
      <w:r w:rsidRPr="00831523">
        <w:rPr>
          <w:color w:val="000000"/>
          <w:sz w:val="28"/>
          <w:szCs w:val="28"/>
        </w:rPr>
        <w:t>Волгограда, поступающих в виде иного межбюджетного трансферта.</w:t>
      </w: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31523">
        <w:rPr>
          <w:color w:val="000000"/>
          <w:sz w:val="28"/>
          <w:szCs w:val="28"/>
        </w:rPr>
        <w:t>2.2. Как главному распорядителю</w:t>
      </w:r>
      <w:r w:rsidR="00831523">
        <w:rPr>
          <w:color w:val="000000"/>
          <w:sz w:val="28"/>
          <w:szCs w:val="28"/>
        </w:rPr>
        <w:t xml:space="preserve"> бюджетных средств Волгограда </w:t>
      </w:r>
      <w:r w:rsidRPr="00831523">
        <w:rPr>
          <w:color w:val="000000"/>
          <w:sz w:val="28"/>
          <w:szCs w:val="28"/>
        </w:rPr>
        <w:t>собл</w:t>
      </w:r>
      <w:r w:rsidRPr="00831523">
        <w:rPr>
          <w:color w:val="000000"/>
          <w:sz w:val="28"/>
          <w:szCs w:val="28"/>
        </w:rPr>
        <w:t>ю</w:t>
      </w:r>
      <w:r w:rsidRPr="00831523">
        <w:rPr>
          <w:color w:val="000000"/>
          <w:sz w:val="28"/>
          <w:szCs w:val="28"/>
        </w:rPr>
        <w:t>дение условий, целей и порядка предоставления иного межбюджетного тран</w:t>
      </w:r>
      <w:r w:rsidRPr="00831523">
        <w:rPr>
          <w:color w:val="000000"/>
          <w:sz w:val="28"/>
          <w:szCs w:val="28"/>
        </w:rPr>
        <w:t>с</w:t>
      </w:r>
      <w:r w:rsidRPr="00831523">
        <w:rPr>
          <w:color w:val="000000"/>
          <w:sz w:val="28"/>
          <w:szCs w:val="28"/>
        </w:rPr>
        <w:t>ферта, достижение плановых значений целевых показателей результати</w:t>
      </w:r>
      <w:r w:rsidRPr="00831523">
        <w:rPr>
          <w:color w:val="000000"/>
          <w:sz w:val="28"/>
          <w:szCs w:val="28"/>
        </w:rPr>
        <w:t>в</w:t>
      </w:r>
      <w:r w:rsidRPr="00831523">
        <w:rPr>
          <w:color w:val="000000"/>
          <w:sz w:val="28"/>
          <w:szCs w:val="28"/>
        </w:rPr>
        <w:t>ности использования иного межбюджетного трансферта, контроль за целевым и э</w:t>
      </w:r>
      <w:r w:rsidRPr="00831523">
        <w:rPr>
          <w:color w:val="000000"/>
          <w:sz w:val="28"/>
          <w:szCs w:val="28"/>
        </w:rPr>
        <w:t>ф</w:t>
      </w:r>
      <w:r w:rsidRPr="00831523">
        <w:rPr>
          <w:color w:val="000000"/>
          <w:sz w:val="28"/>
          <w:szCs w:val="28"/>
        </w:rPr>
        <w:t>фективным использованием</w:t>
      </w:r>
      <w:r w:rsidRPr="00831523">
        <w:rPr>
          <w:sz w:val="28"/>
          <w:szCs w:val="28"/>
        </w:rPr>
        <w:t xml:space="preserve"> </w:t>
      </w:r>
      <w:r w:rsidRPr="00831523">
        <w:rPr>
          <w:color w:val="000000"/>
          <w:sz w:val="28"/>
          <w:szCs w:val="28"/>
        </w:rPr>
        <w:t>иного межбюджетного тран</w:t>
      </w:r>
      <w:r w:rsidRPr="00831523">
        <w:rPr>
          <w:color w:val="000000"/>
          <w:sz w:val="28"/>
          <w:szCs w:val="28"/>
        </w:rPr>
        <w:t>с</w:t>
      </w:r>
      <w:r w:rsidRPr="00831523">
        <w:rPr>
          <w:color w:val="000000"/>
          <w:sz w:val="28"/>
          <w:szCs w:val="28"/>
        </w:rPr>
        <w:t>ферта.</w:t>
      </w: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31523">
        <w:rPr>
          <w:sz w:val="28"/>
          <w:szCs w:val="28"/>
        </w:rPr>
        <w:t>2.3. </w:t>
      </w:r>
      <w:r w:rsidRPr="00831523">
        <w:rPr>
          <w:color w:val="000000"/>
          <w:sz w:val="28"/>
          <w:szCs w:val="28"/>
        </w:rPr>
        <w:t>Взаимодействие с комитетом образования, науки и молодежной п</w:t>
      </w:r>
      <w:r w:rsidRPr="00831523">
        <w:rPr>
          <w:color w:val="000000"/>
          <w:sz w:val="28"/>
          <w:szCs w:val="28"/>
        </w:rPr>
        <w:t>о</w:t>
      </w:r>
      <w:r w:rsidRPr="00831523">
        <w:rPr>
          <w:color w:val="000000"/>
          <w:sz w:val="28"/>
          <w:szCs w:val="28"/>
        </w:rPr>
        <w:t>литики Волгоградской области по вопросам предоставления и перечисления иного межбюджетного трансферта.</w:t>
      </w:r>
    </w:p>
    <w:p w:rsidR="00C12125" w:rsidRPr="00831523" w:rsidRDefault="00D66E3F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125" w:rsidRPr="00831523">
        <w:rPr>
          <w:sz w:val="28"/>
          <w:szCs w:val="28"/>
        </w:rPr>
        <w:t>. Настоящее распоряжение вступает в силу со дня его официального опубликования и распространяет свое действие</w:t>
      </w:r>
      <w:r w:rsidR="00831523">
        <w:rPr>
          <w:sz w:val="28"/>
          <w:szCs w:val="28"/>
        </w:rPr>
        <w:t xml:space="preserve"> </w:t>
      </w:r>
      <w:r w:rsidR="00C12125" w:rsidRPr="00831523">
        <w:rPr>
          <w:sz w:val="28"/>
          <w:szCs w:val="28"/>
        </w:rPr>
        <w:t>на отношения, возни</w:t>
      </w:r>
      <w:r w:rsidR="00C12125" w:rsidRPr="00831523">
        <w:rPr>
          <w:sz w:val="28"/>
          <w:szCs w:val="28"/>
        </w:rPr>
        <w:t>к</w:t>
      </w:r>
      <w:r w:rsidR="00C12125" w:rsidRPr="00831523">
        <w:rPr>
          <w:sz w:val="28"/>
          <w:szCs w:val="28"/>
        </w:rPr>
        <w:t xml:space="preserve">шие </w:t>
      </w:r>
      <w:r w:rsidR="00831523">
        <w:rPr>
          <w:sz w:val="28"/>
          <w:szCs w:val="28"/>
        </w:rPr>
        <w:br/>
      </w:r>
      <w:r w:rsidR="00C12125" w:rsidRPr="00831523">
        <w:rPr>
          <w:sz w:val="28"/>
          <w:szCs w:val="28"/>
        </w:rPr>
        <w:t>с 01 сентября 2020 г.</w:t>
      </w:r>
    </w:p>
    <w:p w:rsidR="00C12125" w:rsidRPr="00831523" w:rsidRDefault="00D66E3F" w:rsidP="00205A4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12125" w:rsidRPr="00831523">
        <w:rPr>
          <w:sz w:val="28"/>
          <w:szCs w:val="28"/>
        </w:rPr>
        <w:t xml:space="preserve">. Контроль за исполнением настоящего распоряжения возложить на </w:t>
      </w:r>
      <w:r w:rsidR="00831523">
        <w:rPr>
          <w:sz w:val="28"/>
          <w:szCs w:val="28"/>
        </w:rPr>
        <w:br/>
      </w:r>
      <w:r w:rsidR="00C12125" w:rsidRPr="00831523">
        <w:rPr>
          <w:sz w:val="28"/>
          <w:szCs w:val="28"/>
        </w:rPr>
        <w:t>заместителя главы Волгограда Ляха А.Н.</w:t>
      </w: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1523">
        <w:rPr>
          <w:sz w:val="28"/>
          <w:szCs w:val="28"/>
        </w:rPr>
        <w:t xml:space="preserve">Глава Волгограда                                                          </w:t>
      </w:r>
      <w:r w:rsidR="00831523">
        <w:rPr>
          <w:sz w:val="28"/>
          <w:szCs w:val="28"/>
        </w:rPr>
        <w:t xml:space="preserve">                                   </w:t>
      </w:r>
      <w:r w:rsidRPr="00831523">
        <w:rPr>
          <w:sz w:val="28"/>
          <w:szCs w:val="28"/>
        </w:rPr>
        <w:t xml:space="preserve">                     </w:t>
      </w:r>
      <w:proofErr w:type="spellStart"/>
      <w:r w:rsidRPr="00831523">
        <w:rPr>
          <w:sz w:val="28"/>
          <w:szCs w:val="28"/>
        </w:rPr>
        <w:t>В.В.Лихачев</w:t>
      </w:r>
      <w:proofErr w:type="spellEnd"/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12125" w:rsidRPr="00831523" w:rsidRDefault="00C12125" w:rsidP="00205A42">
      <w:pPr>
        <w:ind w:left="567"/>
        <w:jc w:val="both"/>
        <w:rPr>
          <w:sz w:val="28"/>
          <w:szCs w:val="28"/>
        </w:rPr>
      </w:pPr>
    </w:p>
    <w:p w:rsidR="00C12125" w:rsidRPr="00831523" w:rsidRDefault="00C12125" w:rsidP="00205A42">
      <w:pPr>
        <w:ind w:left="567"/>
        <w:jc w:val="both"/>
        <w:rPr>
          <w:sz w:val="28"/>
          <w:szCs w:val="28"/>
        </w:rPr>
      </w:pPr>
    </w:p>
    <w:p w:rsidR="00C12125" w:rsidRDefault="00C12125" w:rsidP="00205A42">
      <w:pPr>
        <w:ind w:left="567"/>
        <w:jc w:val="both"/>
        <w:rPr>
          <w:sz w:val="28"/>
          <w:szCs w:val="28"/>
        </w:rPr>
      </w:pPr>
    </w:p>
    <w:p w:rsidR="00D66E3F" w:rsidRDefault="00D66E3F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205A42" w:rsidRDefault="00205A42" w:rsidP="00205A42">
      <w:pPr>
        <w:ind w:left="567"/>
        <w:jc w:val="both"/>
        <w:rPr>
          <w:sz w:val="28"/>
          <w:szCs w:val="28"/>
        </w:rPr>
      </w:pPr>
    </w:p>
    <w:p w:rsidR="00D66E3F" w:rsidRDefault="00D66E3F" w:rsidP="00205A42">
      <w:pPr>
        <w:ind w:left="567"/>
        <w:jc w:val="both"/>
        <w:rPr>
          <w:sz w:val="28"/>
          <w:szCs w:val="28"/>
        </w:rPr>
      </w:pPr>
    </w:p>
    <w:p w:rsidR="00D66E3F" w:rsidRDefault="00D66E3F" w:rsidP="00205A42">
      <w:pPr>
        <w:ind w:left="567"/>
        <w:jc w:val="both"/>
        <w:rPr>
          <w:sz w:val="28"/>
          <w:szCs w:val="28"/>
        </w:rPr>
      </w:pPr>
    </w:p>
    <w:p w:rsidR="00D41D71" w:rsidRDefault="00D41D71" w:rsidP="00205A42">
      <w:pPr>
        <w:ind w:left="6237"/>
        <w:jc w:val="both"/>
        <w:rPr>
          <w:sz w:val="28"/>
          <w:szCs w:val="28"/>
        </w:rPr>
      </w:pPr>
    </w:p>
    <w:p w:rsidR="00C12125" w:rsidRDefault="00C12125" w:rsidP="00205A4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12125" w:rsidRDefault="00C12125" w:rsidP="00205A4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C12125" w:rsidRDefault="00C12125" w:rsidP="00205A4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A625D" w:rsidRDefault="00EF262F" w:rsidP="00205A42">
      <w:pPr>
        <w:ind w:left="6237"/>
        <w:jc w:val="both"/>
        <w:rPr>
          <w:sz w:val="28"/>
        </w:rPr>
      </w:pPr>
      <w:r>
        <w:rPr>
          <w:sz w:val="28"/>
        </w:rPr>
        <w:t>от 11.01.2021  № 2-р</w:t>
      </w:r>
    </w:p>
    <w:p w:rsidR="00DA625D" w:rsidRDefault="00DA625D" w:rsidP="00205A42">
      <w:pPr>
        <w:jc w:val="center"/>
        <w:rPr>
          <w:sz w:val="28"/>
        </w:rPr>
      </w:pPr>
    </w:p>
    <w:p w:rsidR="00DA625D" w:rsidRDefault="00DA625D" w:rsidP="00205A42">
      <w:pPr>
        <w:jc w:val="center"/>
        <w:rPr>
          <w:sz w:val="28"/>
        </w:rPr>
      </w:pPr>
    </w:p>
    <w:p w:rsidR="00C12125" w:rsidRDefault="00C12125" w:rsidP="00205A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A625D" w:rsidRDefault="00C12125" w:rsidP="00205A42">
      <w:pPr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структурных подразделений администрации Волгограда при расходовании средств бюджета Волгограда, полученных в форме иного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бюджетного трансферта, имеющего целевое назначение, из бюджета </w:t>
      </w:r>
    </w:p>
    <w:p w:rsidR="00DA625D" w:rsidRDefault="00C12125" w:rsidP="00205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 Российской Федерации местному бюджету на обеспечение </w:t>
      </w:r>
    </w:p>
    <w:p w:rsidR="00DA625D" w:rsidRDefault="00C12125" w:rsidP="00205A42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выплат ежемесячного денежного вознаграждения за классное руководство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дагогическим работникам муниципальных образовательных организаций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области, реализующих образовательные программы начального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щего, основного общего и среднего общего образования, в том числе </w:t>
      </w:r>
    </w:p>
    <w:p w:rsidR="00C12125" w:rsidRDefault="00C12125" w:rsidP="00205A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адаптированные основные общеобразовательные программы</w:t>
      </w:r>
    </w:p>
    <w:p w:rsidR="00C12125" w:rsidRDefault="00C12125" w:rsidP="00205A42">
      <w:pPr>
        <w:jc w:val="center"/>
        <w:rPr>
          <w:strike/>
          <w:sz w:val="28"/>
          <w:szCs w:val="28"/>
        </w:rPr>
      </w:pP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125" w:rsidRPr="00DA625D">
        <w:rPr>
          <w:sz w:val="28"/>
          <w:szCs w:val="28"/>
        </w:rPr>
        <w:t>Настоящий Порядок определяет порядок взаимодействия структурных по</w:t>
      </w:r>
      <w:r w:rsidR="00C12125" w:rsidRPr="00DA625D">
        <w:rPr>
          <w:sz w:val="28"/>
          <w:szCs w:val="28"/>
        </w:rPr>
        <w:t>д</w:t>
      </w:r>
      <w:r w:rsidR="00C12125" w:rsidRPr="00DA625D">
        <w:rPr>
          <w:sz w:val="28"/>
          <w:szCs w:val="28"/>
        </w:rPr>
        <w:t>разделений администрации Волгограда, иных участников бюджетного пр</w:t>
      </w:r>
      <w:r w:rsidR="00C12125" w:rsidRPr="00DA625D">
        <w:rPr>
          <w:sz w:val="28"/>
          <w:szCs w:val="28"/>
        </w:rPr>
        <w:t>о</w:t>
      </w:r>
      <w:r w:rsidR="00C12125" w:rsidRPr="00DA625D">
        <w:rPr>
          <w:sz w:val="28"/>
          <w:szCs w:val="28"/>
        </w:rPr>
        <w:t>цесса Волгограда и муниципальных учреждений Волгограда, не являющихся учас</w:t>
      </w:r>
      <w:r w:rsidR="00C12125" w:rsidRPr="00DA625D">
        <w:rPr>
          <w:sz w:val="28"/>
          <w:szCs w:val="28"/>
        </w:rPr>
        <w:t>т</w:t>
      </w:r>
      <w:r w:rsidR="00C12125" w:rsidRPr="00DA625D">
        <w:rPr>
          <w:sz w:val="28"/>
          <w:szCs w:val="28"/>
        </w:rPr>
        <w:t>никами бюджетного процесса Волгогр</w:t>
      </w:r>
      <w:r>
        <w:rPr>
          <w:sz w:val="28"/>
          <w:szCs w:val="28"/>
        </w:rPr>
        <w:t>ада, при учете и расходовании в </w:t>
      </w:r>
      <w:r w:rsidR="00C12125" w:rsidRPr="00DA625D">
        <w:rPr>
          <w:sz w:val="28"/>
          <w:szCs w:val="28"/>
        </w:rPr>
        <w:t>2020</w:t>
      </w:r>
      <w:r>
        <w:rPr>
          <w:sz w:val="28"/>
          <w:szCs w:val="28"/>
        </w:rPr>
        <w:t> </w:t>
      </w:r>
      <w:r w:rsidR="00C12125" w:rsidRPr="00DA625D">
        <w:rPr>
          <w:sz w:val="28"/>
          <w:szCs w:val="28"/>
        </w:rPr>
        <w:t>финансовом  г</w:t>
      </w:r>
      <w:r>
        <w:rPr>
          <w:sz w:val="28"/>
          <w:szCs w:val="28"/>
        </w:rPr>
        <w:t>оду  и плановом периоде 2021–2022</w:t>
      </w:r>
      <w:r w:rsidR="00C12125" w:rsidRPr="00DA625D">
        <w:rPr>
          <w:sz w:val="28"/>
          <w:szCs w:val="28"/>
        </w:rPr>
        <w:t xml:space="preserve"> годов средств бюдж</w:t>
      </w:r>
      <w:r w:rsidR="00C12125" w:rsidRPr="00DA625D">
        <w:rPr>
          <w:sz w:val="28"/>
          <w:szCs w:val="28"/>
        </w:rPr>
        <w:t>е</w:t>
      </w:r>
      <w:r w:rsidR="00C12125" w:rsidRPr="00DA625D">
        <w:rPr>
          <w:sz w:val="28"/>
          <w:szCs w:val="28"/>
        </w:rPr>
        <w:t>та Волгограда, поступающих в бюджет Волгограда из бюджета Волгоградской области в форме иного межбюджетного трансферта, имеющего целевое назн</w:t>
      </w:r>
      <w:r w:rsidR="00C12125" w:rsidRPr="00DA625D">
        <w:rPr>
          <w:sz w:val="28"/>
          <w:szCs w:val="28"/>
        </w:rPr>
        <w:t>а</w:t>
      </w:r>
      <w:r w:rsidR="00C12125" w:rsidRPr="00DA625D">
        <w:rPr>
          <w:sz w:val="28"/>
          <w:szCs w:val="28"/>
        </w:rPr>
        <w:t>чение, на обеспечение выплат ежемесячного денежного вознаграждения за классное руководство педагогическим работникам муниципальных образов</w:t>
      </w:r>
      <w:r w:rsidR="00C12125" w:rsidRPr="00DA625D">
        <w:rPr>
          <w:sz w:val="28"/>
          <w:szCs w:val="28"/>
        </w:rPr>
        <w:t>а</w:t>
      </w:r>
      <w:r w:rsidR="00C12125" w:rsidRPr="00DA625D">
        <w:rPr>
          <w:sz w:val="28"/>
          <w:szCs w:val="28"/>
        </w:rPr>
        <w:t>тельных организаций Волгоградской области, реализующих образовательные программы начального общего, основного общего и среднего общего образов</w:t>
      </w:r>
      <w:r w:rsidR="00C12125" w:rsidRPr="00DA625D">
        <w:rPr>
          <w:sz w:val="28"/>
          <w:szCs w:val="28"/>
        </w:rPr>
        <w:t>а</w:t>
      </w:r>
      <w:r w:rsidR="00C12125" w:rsidRPr="00DA625D">
        <w:rPr>
          <w:sz w:val="28"/>
          <w:szCs w:val="28"/>
        </w:rPr>
        <w:t>ния, в том числе адаптированные основные общеобразовательные программы (далее – иной межбюджетный трансферт).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125" w:rsidRPr="00DA625D">
        <w:rPr>
          <w:sz w:val="28"/>
          <w:szCs w:val="28"/>
        </w:rPr>
        <w:t>В настояще</w:t>
      </w:r>
      <w:r w:rsidR="00F71699">
        <w:rPr>
          <w:sz w:val="28"/>
          <w:szCs w:val="28"/>
        </w:rPr>
        <w:t>м</w:t>
      </w:r>
      <w:r w:rsidR="00C12125" w:rsidRPr="00DA625D">
        <w:rPr>
          <w:sz w:val="28"/>
          <w:szCs w:val="28"/>
        </w:rPr>
        <w:t xml:space="preserve"> Порядк</w:t>
      </w:r>
      <w:r w:rsidR="00F71699">
        <w:rPr>
          <w:sz w:val="28"/>
          <w:szCs w:val="28"/>
        </w:rPr>
        <w:t>е</w:t>
      </w:r>
      <w:r w:rsidR="00C12125" w:rsidRPr="00DA625D">
        <w:rPr>
          <w:sz w:val="28"/>
          <w:szCs w:val="28"/>
        </w:rPr>
        <w:t xml:space="preserve"> применяются следующие понятия и сокращ</w:t>
      </w:r>
      <w:r w:rsidR="00C12125" w:rsidRPr="00DA625D">
        <w:rPr>
          <w:sz w:val="28"/>
          <w:szCs w:val="28"/>
        </w:rPr>
        <w:t>е</w:t>
      </w:r>
      <w:r w:rsidR="00C12125" w:rsidRPr="00DA625D">
        <w:rPr>
          <w:sz w:val="28"/>
          <w:szCs w:val="28"/>
        </w:rPr>
        <w:t xml:space="preserve">ния: 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>соглашение о предоставлении иного межбюдж</w:t>
      </w:r>
      <w:r w:rsidR="00B734A0">
        <w:rPr>
          <w:sz w:val="28"/>
          <w:szCs w:val="28"/>
        </w:rPr>
        <w:t>етного трансферта – с</w:t>
      </w:r>
      <w:r w:rsidR="00B734A0">
        <w:rPr>
          <w:sz w:val="28"/>
          <w:szCs w:val="28"/>
        </w:rPr>
        <w:t>о</w:t>
      </w:r>
      <w:r w:rsidR="00B734A0">
        <w:rPr>
          <w:sz w:val="28"/>
          <w:szCs w:val="28"/>
        </w:rPr>
        <w:t xml:space="preserve">глашение </w:t>
      </w:r>
      <w:r w:rsidRPr="00DA625D">
        <w:rPr>
          <w:sz w:val="28"/>
          <w:szCs w:val="28"/>
        </w:rPr>
        <w:t>о предоставлении иного межбюджетного трансферта, имеющего целевое назн</w:t>
      </w:r>
      <w:r w:rsidRPr="00DA625D">
        <w:rPr>
          <w:sz w:val="28"/>
          <w:szCs w:val="28"/>
        </w:rPr>
        <w:t>а</w:t>
      </w:r>
      <w:r w:rsidRPr="00DA625D">
        <w:rPr>
          <w:sz w:val="28"/>
          <w:szCs w:val="28"/>
        </w:rPr>
        <w:t>чение, из областного бюджета бюджетам муниципальных районов и городских округов Волгоградской области на обеспечение выплат ежемесячного денежн</w:t>
      </w:r>
      <w:r w:rsidRPr="00DA625D">
        <w:rPr>
          <w:sz w:val="28"/>
          <w:szCs w:val="28"/>
        </w:rPr>
        <w:t>о</w:t>
      </w:r>
      <w:r w:rsidRPr="00DA625D">
        <w:rPr>
          <w:sz w:val="28"/>
          <w:szCs w:val="28"/>
        </w:rPr>
        <w:t>го вознаграждения за классное руководство педагогическим работникам мун</w:t>
      </w:r>
      <w:r w:rsidRPr="00DA625D">
        <w:rPr>
          <w:sz w:val="28"/>
          <w:szCs w:val="28"/>
        </w:rPr>
        <w:t>и</w:t>
      </w:r>
      <w:r w:rsidRPr="00DA625D">
        <w:rPr>
          <w:sz w:val="28"/>
          <w:szCs w:val="28"/>
        </w:rPr>
        <w:t>ципальных образовательных организаций Волгоградской области, реализу</w:t>
      </w:r>
      <w:r w:rsidRPr="00DA625D">
        <w:rPr>
          <w:sz w:val="28"/>
          <w:szCs w:val="28"/>
        </w:rPr>
        <w:t>ю</w:t>
      </w:r>
      <w:r w:rsidRPr="00DA625D">
        <w:rPr>
          <w:sz w:val="28"/>
          <w:szCs w:val="28"/>
        </w:rPr>
        <w:t>щих образовательные программы начального общего, основного общего и среднего общего образования, в том числе адаптированные основные общео</w:t>
      </w:r>
      <w:r w:rsidRPr="00DA625D">
        <w:rPr>
          <w:sz w:val="28"/>
          <w:szCs w:val="28"/>
        </w:rPr>
        <w:t>б</w:t>
      </w:r>
      <w:r w:rsidRPr="00DA625D">
        <w:rPr>
          <w:sz w:val="28"/>
          <w:szCs w:val="28"/>
        </w:rPr>
        <w:t>разовательные программы</w:t>
      </w:r>
      <w:r w:rsidRPr="00DA625D">
        <w:rPr>
          <w:spacing w:val="-2"/>
          <w:sz w:val="28"/>
          <w:szCs w:val="28"/>
        </w:rPr>
        <w:t>,</w:t>
      </w:r>
      <w:r w:rsidRPr="00DA625D">
        <w:rPr>
          <w:sz w:val="28"/>
          <w:szCs w:val="28"/>
        </w:rPr>
        <w:t xml:space="preserve"> от 25 июня 2020 г. № 18701000-1-2020-013</w:t>
      </w:r>
      <w:r w:rsidR="00B734A0" w:rsidRPr="00DA625D">
        <w:rPr>
          <w:sz w:val="28"/>
          <w:szCs w:val="28"/>
        </w:rPr>
        <w:t>, закл</w:t>
      </w:r>
      <w:r w:rsidR="00B734A0" w:rsidRPr="00DA625D">
        <w:rPr>
          <w:sz w:val="28"/>
          <w:szCs w:val="28"/>
        </w:rPr>
        <w:t>ю</w:t>
      </w:r>
      <w:r w:rsidR="00B734A0" w:rsidRPr="00DA625D">
        <w:rPr>
          <w:sz w:val="28"/>
          <w:szCs w:val="28"/>
        </w:rPr>
        <w:t>ченное между комитетом образования, науки и молодежной политики Волг</w:t>
      </w:r>
      <w:r w:rsidR="00B734A0" w:rsidRPr="00DA625D">
        <w:rPr>
          <w:sz w:val="28"/>
          <w:szCs w:val="28"/>
        </w:rPr>
        <w:t>о</w:t>
      </w:r>
      <w:r w:rsidR="00B734A0" w:rsidRPr="00DA625D">
        <w:rPr>
          <w:sz w:val="28"/>
          <w:szCs w:val="28"/>
        </w:rPr>
        <w:t>градской области и администрацией Волгограда</w:t>
      </w:r>
      <w:r w:rsidRPr="00DA625D">
        <w:rPr>
          <w:sz w:val="28"/>
          <w:szCs w:val="28"/>
        </w:rPr>
        <w:t>;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>департамент – департамент по образ</w:t>
      </w:r>
      <w:r w:rsidR="00F71699">
        <w:rPr>
          <w:sz w:val="28"/>
          <w:szCs w:val="28"/>
        </w:rPr>
        <w:t>ованию администрации Волгограда –</w:t>
      </w:r>
      <w:r w:rsidRPr="00DA625D">
        <w:rPr>
          <w:sz w:val="28"/>
          <w:szCs w:val="28"/>
        </w:rPr>
        <w:t xml:space="preserve"> гла</w:t>
      </w:r>
      <w:r w:rsidRPr="00DA625D">
        <w:rPr>
          <w:sz w:val="28"/>
          <w:szCs w:val="28"/>
        </w:rPr>
        <w:t>в</w:t>
      </w:r>
      <w:r w:rsidRPr="00DA625D">
        <w:rPr>
          <w:sz w:val="28"/>
          <w:szCs w:val="28"/>
        </w:rPr>
        <w:t>ный администратор доходов бюджета Волгограда, главный распорядитель бюджетных средств Волгограда;</w:t>
      </w:r>
    </w:p>
    <w:p w:rsidR="00C12125" w:rsidRPr="00DA625D" w:rsidRDefault="00C12125" w:rsidP="00205A42">
      <w:pPr>
        <w:jc w:val="both"/>
        <w:rPr>
          <w:color w:val="000000"/>
          <w:sz w:val="28"/>
          <w:szCs w:val="28"/>
        </w:rPr>
      </w:pPr>
      <w:r w:rsidRPr="00DA625D">
        <w:rPr>
          <w:sz w:val="28"/>
          <w:szCs w:val="28"/>
        </w:rPr>
        <w:lastRenderedPageBreak/>
        <w:t>территориальные управления – территориальные управления департ</w:t>
      </w:r>
      <w:r w:rsidRPr="00DA625D">
        <w:rPr>
          <w:sz w:val="28"/>
          <w:szCs w:val="28"/>
        </w:rPr>
        <w:t>а</w:t>
      </w:r>
      <w:r w:rsidRPr="00DA625D">
        <w:rPr>
          <w:sz w:val="28"/>
          <w:szCs w:val="28"/>
        </w:rPr>
        <w:t>мента по образ</w:t>
      </w:r>
      <w:r w:rsidR="00B734A0">
        <w:rPr>
          <w:sz w:val="28"/>
          <w:szCs w:val="28"/>
        </w:rPr>
        <w:t>ованию администрации Волгограда –</w:t>
      </w:r>
      <w:r w:rsidRPr="00DA625D">
        <w:rPr>
          <w:sz w:val="28"/>
          <w:szCs w:val="28"/>
        </w:rPr>
        <w:t xml:space="preserve"> распорядители бюджетных средств Волгограда, которым в бюджете Волгограда предусмотрены бюджетные асси</w:t>
      </w:r>
      <w:r w:rsidRPr="00DA625D">
        <w:rPr>
          <w:sz w:val="28"/>
          <w:szCs w:val="28"/>
        </w:rPr>
        <w:t>г</w:t>
      </w:r>
      <w:r w:rsidRPr="00DA625D">
        <w:rPr>
          <w:sz w:val="28"/>
          <w:szCs w:val="28"/>
        </w:rPr>
        <w:t>нования на предоставление субсидий бюджетным учреждениям на иные цели</w:t>
      </w:r>
      <w:r w:rsidRPr="00DA625D">
        <w:rPr>
          <w:color w:val="000000"/>
          <w:sz w:val="28"/>
          <w:szCs w:val="28"/>
        </w:rPr>
        <w:t>;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>учреждения – муниципальные общеобразовательные учреждения Волг</w:t>
      </w:r>
      <w:r w:rsidRPr="00DA625D">
        <w:rPr>
          <w:sz w:val="28"/>
          <w:szCs w:val="28"/>
        </w:rPr>
        <w:t>о</w:t>
      </w:r>
      <w:r w:rsidRPr="00DA625D">
        <w:rPr>
          <w:sz w:val="28"/>
          <w:szCs w:val="28"/>
        </w:rPr>
        <w:t>града, не являющиеся участниками бюджетного процесса Волгограда, получатели иного межбюджетного трансферта в соотв</w:t>
      </w:r>
      <w:r w:rsidR="00D66E3F">
        <w:rPr>
          <w:sz w:val="28"/>
          <w:szCs w:val="28"/>
        </w:rPr>
        <w:t>етствии с абзацем вторым пун</w:t>
      </w:r>
      <w:r w:rsidR="00D66E3F">
        <w:rPr>
          <w:sz w:val="28"/>
          <w:szCs w:val="28"/>
        </w:rPr>
        <w:softHyphen/>
        <w:t>кта </w:t>
      </w:r>
      <w:r w:rsidRPr="00DA625D">
        <w:rPr>
          <w:sz w:val="28"/>
          <w:szCs w:val="28"/>
        </w:rPr>
        <w:t>1 статьи 78.1 Бюджетного кодекса Российской Федерации.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3. В </w:t>
      </w:r>
      <w:r w:rsidR="00C12125" w:rsidRPr="00DA625D">
        <w:rPr>
          <w:sz w:val="28"/>
          <w:szCs w:val="28"/>
        </w:rPr>
        <w:t>ходе реализации мероприятий, предусмотренных соглашением о пред</w:t>
      </w:r>
      <w:r w:rsidR="00C12125" w:rsidRPr="00DA625D">
        <w:rPr>
          <w:sz w:val="28"/>
          <w:szCs w:val="28"/>
        </w:rPr>
        <w:t>о</w:t>
      </w:r>
      <w:r w:rsidR="00C12125" w:rsidRPr="00DA625D">
        <w:rPr>
          <w:sz w:val="28"/>
          <w:szCs w:val="28"/>
        </w:rPr>
        <w:t>ставлении иного межбюджетного трансферта: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>3.1. Департамент представляет в департамент финансов администрации Волг</w:t>
      </w:r>
      <w:r w:rsidRPr="00DA625D">
        <w:rPr>
          <w:sz w:val="28"/>
          <w:szCs w:val="28"/>
        </w:rPr>
        <w:t>о</w:t>
      </w:r>
      <w:r w:rsidRPr="00DA625D">
        <w:rPr>
          <w:sz w:val="28"/>
          <w:szCs w:val="28"/>
        </w:rPr>
        <w:t>града информацию о распределении средств иного межбюджетного трансферта по кодам классификации расходов Российской Федерации, в том числе в разр</w:t>
      </w:r>
      <w:r w:rsidRPr="00DA625D">
        <w:rPr>
          <w:sz w:val="28"/>
          <w:szCs w:val="28"/>
        </w:rPr>
        <w:t>е</w:t>
      </w:r>
      <w:r w:rsidRPr="00DA625D">
        <w:rPr>
          <w:sz w:val="28"/>
          <w:szCs w:val="28"/>
        </w:rPr>
        <w:t>зе территориальных управлений, для дальнейшего зачисления на лицевые сч</w:t>
      </w:r>
      <w:r w:rsidRPr="00DA625D">
        <w:rPr>
          <w:sz w:val="28"/>
          <w:szCs w:val="28"/>
        </w:rPr>
        <w:t>е</w:t>
      </w:r>
      <w:r w:rsidRPr="00DA625D">
        <w:rPr>
          <w:sz w:val="28"/>
          <w:szCs w:val="28"/>
        </w:rPr>
        <w:t>та, открытые в Управлении Федерального казначейства по Волгоградской обл</w:t>
      </w:r>
      <w:r w:rsidRPr="00DA625D">
        <w:rPr>
          <w:sz w:val="28"/>
          <w:szCs w:val="28"/>
        </w:rPr>
        <w:t>а</w:t>
      </w:r>
      <w:r w:rsidRPr="00DA625D">
        <w:rPr>
          <w:sz w:val="28"/>
          <w:szCs w:val="28"/>
        </w:rPr>
        <w:t>сти.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 xml:space="preserve">3.2. Территориальные управления принимают бюджетные обязательства путем заключения с учреждениями </w:t>
      </w:r>
      <w:hyperlink r:id="rId9" w:history="1">
        <w:r w:rsidRPr="00DA625D">
          <w:rPr>
            <w:rStyle w:val="ae"/>
            <w:color w:val="000000" w:themeColor="text1"/>
            <w:sz w:val="28"/>
            <w:szCs w:val="28"/>
            <w:u w:val="none"/>
          </w:rPr>
          <w:t>соглашени</w:t>
        </w:r>
      </w:hyperlink>
      <w:r w:rsidRPr="00DA625D">
        <w:rPr>
          <w:color w:val="000000" w:themeColor="text1"/>
          <w:sz w:val="28"/>
          <w:szCs w:val="28"/>
        </w:rPr>
        <w:t>й</w:t>
      </w:r>
      <w:r w:rsidRPr="00DA625D">
        <w:rPr>
          <w:sz w:val="28"/>
          <w:szCs w:val="28"/>
        </w:rPr>
        <w:t xml:space="preserve"> в соответствии с Типовой формой с</w:t>
      </w:r>
      <w:r w:rsidRPr="00DA625D">
        <w:rPr>
          <w:sz w:val="28"/>
          <w:szCs w:val="28"/>
        </w:rPr>
        <w:t>о</w:t>
      </w:r>
      <w:r w:rsidRPr="00DA625D">
        <w:rPr>
          <w:sz w:val="28"/>
          <w:szCs w:val="28"/>
        </w:rPr>
        <w:t>глашения о предоставлении из бюджета Волгограда муниципальному бюдже</w:t>
      </w:r>
      <w:r w:rsidRPr="00DA625D">
        <w:rPr>
          <w:sz w:val="28"/>
          <w:szCs w:val="28"/>
        </w:rPr>
        <w:t>т</w:t>
      </w:r>
      <w:r w:rsidRPr="00DA625D">
        <w:rPr>
          <w:sz w:val="28"/>
          <w:szCs w:val="28"/>
        </w:rPr>
        <w:t>ному (автономному) учреждению Волгограда субсидии в соответствии с абз</w:t>
      </w:r>
      <w:r w:rsidRPr="00DA625D">
        <w:rPr>
          <w:sz w:val="28"/>
          <w:szCs w:val="28"/>
        </w:rPr>
        <w:t>а</w:t>
      </w:r>
      <w:r w:rsidRPr="00DA625D">
        <w:rPr>
          <w:sz w:val="28"/>
          <w:szCs w:val="28"/>
        </w:rPr>
        <w:t>цем вторым пункта 1 статьи 78.1 Бюджетного кодекса Российской Фед</w:t>
      </w:r>
      <w:r w:rsidRPr="00DA625D">
        <w:rPr>
          <w:sz w:val="28"/>
          <w:szCs w:val="28"/>
        </w:rPr>
        <w:t>е</w:t>
      </w:r>
      <w:r w:rsidRPr="00DA625D">
        <w:rPr>
          <w:sz w:val="28"/>
          <w:szCs w:val="28"/>
        </w:rPr>
        <w:t xml:space="preserve">рации, по типовой форме, утвержденной </w:t>
      </w:r>
      <w:r w:rsidRPr="00DA625D">
        <w:rPr>
          <w:color w:val="000000"/>
          <w:sz w:val="28"/>
          <w:szCs w:val="28"/>
        </w:rPr>
        <w:t xml:space="preserve">департаментом финансов администрации Волгограда (далее – </w:t>
      </w:r>
      <w:r w:rsidR="00DA625D">
        <w:rPr>
          <w:color w:val="000000"/>
          <w:sz w:val="28"/>
          <w:szCs w:val="28"/>
        </w:rPr>
        <w:t>с</w:t>
      </w:r>
      <w:r w:rsidRPr="00DA625D">
        <w:rPr>
          <w:color w:val="000000"/>
          <w:sz w:val="28"/>
          <w:szCs w:val="28"/>
        </w:rPr>
        <w:t>оглашение)</w:t>
      </w:r>
      <w:r w:rsidRPr="00DA625D">
        <w:rPr>
          <w:sz w:val="28"/>
          <w:szCs w:val="28"/>
        </w:rPr>
        <w:t>.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>Принятые бюджетные обязательства территориальных управлений по</w:t>
      </w:r>
      <w:r w:rsidRPr="00DA625D">
        <w:rPr>
          <w:sz w:val="28"/>
          <w:szCs w:val="28"/>
        </w:rPr>
        <w:t>д</w:t>
      </w:r>
      <w:r w:rsidRPr="00DA625D">
        <w:rPr>
          <w:sz w:val="28"/>
          <w:szCs w:val="28"/>
        </w:rPr>
        <w:t>лежат учету в порядке, установленном департаментом финансов администрации Во</w:t>
      </w:r>
      <w:r w:rsidRPr="00DA625D">
        <w:rPr>
          <w:sz w:val="28"/>
          <w:szCs w:val="28"/>
        </w:rPr>
        <w:t>л</w:t>
      </w:r>
      <w:r w:rsidRPr="00DA625D">
        <w:rPr>
          <w:sz w:val="28"/>
          <w:szCs w:val="28"/>
        </w:rPr>
        <w:t>гограда.</w:t>
      </w:r>
    </w:p>
    <w:p w:rsidR="00C12125" w:rsidRPr="00DA625D" w:rsidRDefault="00C12125" w:rsidP="00205A42">
      <w:pPr>
        <w:jc w:val="both"/>
        <w:rPr>
          <w:sz w:val="28"/>
          <w:szCs w:val="28"/>
        </w:rPr>
      </w:pPr>
      <w:r w:rsidRPr="00DA625D">
        <w:rPr>
          <w:sz w:val="28"/>
          <w:szCs w:val="28"/>
        </w:rPr>
        <w:t>Принятые обязательства учреждений подлежат учету в порядке, уст</w:t>
      </w:r>
      <w:r w:rsidRPr="00DA625D">
        <w:rPr>
          <w:sz w:val="28"/>
          <w:szCs w:val="28"/>
        </w:rPr>
        <w:t>а</w:t>
      </w:r>
      <w:r w:rsidRPr="00DA625D">
        <w:rPr>
          <w:sz w:val="28"/>
          <w:szCs w:val="28"/>
        </w:rPr>
        <w:t>новленном департаментом финансов администрации Волгограда.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C12125" w:rsidRPr="00DA625D">
        <w:rPr>
          <w:sz w:val="28"/>
          <w:szCs w:val="28"/>
        </w:rPr>
        <w:t>Департамент финансов администрации Волгограда: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C12125" w:rsidRPr="00DA625D">
        <w:rPr>
          <w:sz w:val="28"/>
          <w:szCs w:val="28"/>
        </w:rPr>
        <w:t>Сообщает департаменту об отражении операций по доведению предел</w:t>
      </w:r>
      <w:r w:rsidR="00C12125" w:rsidRPr="00DA625D">
        <w:rPr>
          <w:sz w:val="28"/>
          <w:szCs w:val="28"/>
        </w:rPr>
        <w:t>ь</w:t>
      </w:r>
      <w:r w:rsidR="00C12125" w:rsidRPr="00DA625D">
        <w:rPr>
          <w:sz w:val="28"/>
          <w:szCs w:val="28"/>
        </w:rPr>
        <w:t>ных объемов финансирования при получении от Управления Федерального казначейства по Волгоградской области выписки из лицевого счета по переда</w:t>
      </w:r>
      <w:r w:rsidR="00C12125" w:rsidRPr="00DA625D">
        <w:rPr>
          <w:sz w:val="28"/>
          <w:szCs w:val="28"/>
        </w:rPr>
        <w:t>н</w:t>
      </w:r>
      <w:r w:rsidR="00C12125" w:rsidRPr="00DA625D">
        <w:rPr>
          <w:sz w:val="28"/>
          <w:szCs w:val="28"/>
        </w:rPr>
        <w:t>ным полномочиям, открытого комитету образования, науки и молодежной п</w:t>
      </w:r>
      <w:r w:rsidR="00C12125" w:rsidRPr="00DA625D">
        <w:rPr>
          <w:sz w:val="28"/>
          <w:szCs w:val="28"/>
        </w:rPr>
        <w:t>о</w:t>
      </w:r>
      <w:r w:rsidR="00C12125" w:rsidRPr="00DA625D">
        <w:rPr>
          <w:sz w:val="28"/>
          <w:szCs w:val="28"/>
        </w:rPr>
        <w:t xml:space="preserve">литики Волгоградской области. 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="00C12125" w:rsidRPr="00DA625D">
        <w:rPr>
          <w:sz w:val="28"/>
          <w:szCs w:val="28"/>
        </w:rPr>
        <w:t>Формирует и представляет в Управление Федерального казначе</w:t>
      </w:r>
      <w:r w:rsidR="00C12125" w:rsidRPr="00DA625D">
        <w:rPr>
          <w:sz w:val="28"/>
          <w:szCs w:val="28"/>
        </w:rPr>
        <w:t>й</w:t>
      </w:r>
      <w:r w:rsidR="00C12125" w:rsidRPr="00DA625D">
        <w:rPr>
          <w:sz w:val="28"/>
          <w:szCs w:val="28"/>
        </w:rPr>
        <w:t>ства по Волгоградской области расходные расписания для доведения предельных об</w:t>
      </w:r>
      <w:r w:rsidR="00C12125" w:rsidRPr="00DA625D">
        <w:rPr>
          <w:sz w:val="28"/>
          <w:szCs w:val="28"/>
        </w:rPr>
        <w:t>ъ</w:t>
      </w:r>
      <w:r w:rsidR="00C12125" w:rsidRPr="00DA625D">
        <w:rPr>
          <w:sz w:val="28"/>
          <w:szCs w:val="28"/>
        </w:rPr>
        <w:t>емов финансирования на лицевой счет главного распорядителя</w:t>
      </w:r>
      <w:r w:rsidR="00B734A0">
        <w:rPr>
          <w:sz w:val="28"/>
          <w:szCs w:val="28"/>
        </w:rPr>
        <w:t>,</w:t>
      </w:r>
      <w:r w:rsidR="00C12125" w:rsidRPr="00DA625D">
        <w:rPr>
          <w:sz w:val="28"/>
          <w:szCs w:val="28"/>
        </w:rPr>
        <w:t xml:space="preserve"> открытый д</w:t>
      </w:r>
      <w:r w:rsidR="00C12125" w:rsidRPr="00DA625D">
        <w:rPr>
          <w:sz w:val="28"/>
          <w:szCs w:val="28"/>
        </w:rPr>
        <w:t>е</w:t>
      </w:r>
      <w:r w:rsidR="00C12125" w:rsidRPr="00DA625D">
        <w:rPr>
          <w:sz w:val="28"/>
          <w:szCs w:val="28"/>
        </w:rPr>
        <w:t>партаменту, в пределах суммы, необходимой для оплаты, на основании инфо</w:t>
      </w:r>
      <w:r w:rsidR="00C12125" w:rsidRPr="00DA625D">
        <w:rPr>
          <w:sz w:val="28"/>
          <w:szCs w:val="28"/>
        </w:rPr>
        <w:t>р</w:t>
      </w:r>
      <w:r w:rsidR="00C12125" w:rsidRPr="00DA625D">
        <w:rPr>
          <w:sz w:val="28"/>
          <w:szCs w:val="28"/>
        </w:rPr>
        <w:t>мации, указанной в подпункте 3.1 настоящего пункта и предоставленной депа</w:t>
      </w:r>
      <w:r w:rsidR="00C12125" w:rsidRPr="00DA625D">
        <w:rPr>
          <w:sz w:val="28"/>
          <w:szCs w:val="28"/>
        </w:rPr>
        <w:t>р</w:t>
      </w:r>
      <w:r w:rsidR="00C12125" w:rsidRPr="00DA625D">
        <w:rPr>
          <w:sz w:val="28"/>
          <w:szCs w:val="28"/>
        </w:rPr>
        <w:t xml:space="preserve">таментом. 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C12125" w:rsidRPr="00DA625D">
        <w:rPr>
          <w:sz w:val="28"/>
          <w:szCs w:val="28"/>
        </w:rPr>
        <w:t>Отражает операции по использованию иного межбюджетного трансферта на основании выписок из лицевых счетов департамента, территориальных управлений, представленных департаментом, территориальными управлени</w:t>
      </w:r>
      <w:r w:rsidR="00C12125" w:rsidRPr="00DA625D">
        <w:rPr>
          <w:sz w:val="28"/>
          <w:szCs w:val="28"/>
        </w:rPr>
        <w:t>я</w:t>
      </w:r>
      <w:r w:rsidR="00C12125" w:rsidRPr="00DA625D">
        <w:rPr>
          <w:sz w:val="28"/>
          <w:szCs w:val="28"/>
        </w:rPr>
        <w:t>ми, открытых в Управлении Федерального казначейства по Волгоградской о</w:t>
      </w:r>
      <w:r w:rsidR="00C12125" w:rsidRPr="00DA625D">
        <w:rPr>
          <w:sz w:val="28"/>
          <w:szCs w:val="28"/>
        </w:rPr>
        <w:t>б</w:t>
      </w:r>
      <w:r w:rsidR="00C12125" w:rsidRPr="00DA625D">
        <w:rPr>
          <w:sz w:val="28"/>
          <w:szCs w:val="28"/>
        </w:rPr>
        <w:t>ласти, и иных документов, необходимых для исполнения бюджета Волгограда.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66E3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C12125" w:rsidRPr="00DA625D">
        <w:rPr>
          <w:sz w:val="28"/>
          <w:szCs w:val="28"/>
        </w:rPr>
        <w:t>Территориальные управления формируют и представляют в Управление Федерального казначейства по Волгоградской области расходные расп</w:t>
      </w:r>
      <w:r w:rsidR="00C12125" w:rsidRPr="00DA625D">
        <w:rPr>
          <w:sz w:val="28"/>
          <w:szCs w:val="28"/>
        </w:rPr>
        <w:t>и</w:t>
      </w:r>
      <w:r w:rsidR="00C12125" w:rsidRPr="00DA625D">
        <w:rPr>
          <w:sz w:val="28"/>
          <w:szCs w:val="28"/>
        </w:rPr>
        <w:t>сания для доведения предельных объемов финансирования на лицевые счета, откр</w:t>
      </w:r>
      <w:r w:rsidR="00C12125" w:rsidRPr="00DA625D">
        <w:rPr>
          <w:sz w:val="28"/>
          <w:szCs w:val="28"/>
        </w:rPr>
        <w:t>ы</w:t>
      </w:r>
      <w:r w:rsidR="00C12125" w:rsidRPr="00DA625D">
        <w:rPr>
          <w:sz w:val="28"/>
          <w:szCs w:val="28"/>
        </w:rPr>
        <w:t>тые территориальным управлениям, в пределах сумм, необходимых для выпл</w:t>
      </w:r>
      <w:r w:rsidR="00C12125" w:rsidRPr="00DA625D">
        <w:rPr>
          <w:sz w:val="28"/>
          <w:szCs w:val="28"/>
        </w:rPr>
        <w:t>а</w:t>
      </w:r>
      <w:r w:rsidR="00C12125" w:rsidRPr="00DA625D">
        <w:rPr>
          <w:sz w:val="28"/>
          <w:szCs w:val="28"/>
        </w:rPr>
        <w:t>ты ежемесячного денежного вознаграждения за классное руководство педаг</w:t>
      </w:r>
      <w:r w:rsidR="00C12125" w:rsidRPr="00DA625D">
        <w:rPr>
          <w:sz w:val="28"/>
          <w:szCs w:val="28"/>
        </w:rPr>
        <w:t>о</w:t>
      </w:r>
      <w:r w:rsidR="00C12125" w:rsidRPr="00DA625D">
        <w:rPr>
          <w:sz w:val="28"/>
          <w:szCs w:val="28"/>
        </w:rPr>
        <w:t xml:space="preserve">гическим работникам </w:t>
      </w:r>
      <w:r w:rsidR="00C12125" w:rsidRPr="00F71699">
        <w:rPr>
          <w:color w:val="000000" w:themeColor="text1"/>
          <w:sz w:val="28"/>
          <w:szCs w:val="28"/>
        </w:rPr>
        <w:t>учреждени</w:t>
      </w:r>
      <w:r w:rsidR="00F71699" w:rsidRPr="00F71699">
        <w:rPr>
          <w:color w:val="000000" w:themeColor="text1"/>
          <w:sz w:val="28"/>
          <w:szCs w:val="28"/>
        </w:rPr>
        <w:t>й</w:t>
      </w:r>
      <w:r w:rsidR="00C12125" w:rsidRPr="00F71699">
        <w:rPr>
          <w:color w:val="000000" w:themeColor="text1"/>
          <w:sz w:val="28"/>
          <w:szCs w:val="28"/>
        </w:rPr>
        <w:t>.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12125" w:rsidRPr="00DA625D">
        <w:rPr>
          <w:sz w:val="28"/>
          <w:szCs w:val="28"/>
        </w:rPr>
        <w:t>Санкционирование и дальнейшая оплата расходов территориальных упра</w:t>
      </w:r>
      <w:r w:rsidR="00C12125" w:rsidRPr="00DA625D">
        <w:rPr>
          <w:sz w:val="28"/>
          <w:szCs w:val="28"/>
        </w:rPr>
        <w:t>в</w:t>
      </w:r>
      <w:r w:rsidR="00C12125" w:rsidRPr="00DA625D">
        <w:rPr>
          <w:sz w:val="28"/>
          <w:szCs w:val="28"/>
        </w:rPr>
        <w:t>лений для выплаты ежемесячного денежного вознаграждения за классное рук</w:t>
      </w:r>
      <w:r w:rsidR="00C12125" w:rsidRPr="00DA625D">
        <w:rPr>
          <w:sz w:val="28"/>
          <w:szCs w:val="28"/>
        </w:rPr>
        <w:t>о</w:t>
      </w:r>
      <w:r w:rsidR="00C12125" w:rsidRPr="00DA625D">
        <w:rPr>
          <w:sz w:val="28"/>
          <w:szCs w:val="28"/>
        </w:rPr>
        <w:t>водство педагогическим работникам осуществляется в порядке, устано</w:t>
      </w:r>
      <w:r w:rsidR="00C12125" w:rsidRPr="00DA625D">
        <w:rPr>
          <w:sz w:val="28"/>
          <w:szCs w:val="28"/>
        </w:rPr>
        <w:t>в</w:t>
      </w:r>
      <w:r w:rsidR="00C12125" w:rsidRPr="00DA625D">
        <w:rPr>
          <w:sz w:val="28"/>
          <w:szCs w:val="28"/>
        </w:rPr>
        <w:t>ленном Федеральн</w:t>
      </w:r>
      <w:r w:rsidR="00B81753">
        <w:rPr>
          <w:sz w:val="28"/>
          <w:szCs w:val="28"/>
        </w:rPr>
        <w:t>ым</w:t>
      </w:r>
      <w:r w:rsidR="00C12125" w:rsidRPr="00DA625D">
        <w:rPr>
          <w:sz w:val="28"/>
          <w:szCs w:val="28"/>
        </w:rPr>
        <w:t xml:space="preserve"> казначейств</w:t>
      </w:r>
      <w:r w:rsidR="00B81753">
        <w:rPr>
          <w:sz w:val="28"/>
          <w:szCs w:val="28"/>
        </w:rPr>
        <w:t>ом</w:t>
      </w:r>
      <w:r w:rsidR="00B734A0">
        <w:rPr>
          <w:sz w:val="28"/>
          <w:szCs w:val="28"/>
        </w:rPr>
        <w:t xml:space="preserve"> </w:t>
      </w:r>
      <w:r w:rsidR="00C12125" w:rsidRPr="00DA625D">
        <w:rPr>
          <w:sz w:val="28"/>
          <w:szCs w:val="28"/>
        </w:rPr>
        <w:t>и Министерством финансов Российской Федер</w:t>
      </w:r>
      <w:r w:rsidR="00C12125" w:rsidRPr="00DA625D">
        <w:rPr>
          <w:sz w:val="28"/>
          <w:szCs w:val="28"/>
        </w:rPr>
        <w:t>а</w:t>
      </w:r>
      <w:r w:rsidR="00C12125" w:rsidRPr="00DA625D">
        <w:rPr>
          <w:sz w:val="28"/>
          <w:szCs w:val="28"/>
        </w:rPr>
        <w:t>ции.</w:t>
      </w:r>
    </w:p>
    <w:p w:rsidR="00C12125" w:rsidRPr="00DA625D" w:rsidRDefault="00DA625D" w:rsidP="00205A42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12125" w:rsidRPr="00DA625D">
        <w:rPr>
          <w:sz w:val="28"/>
          <w:szCs w:val="28"/>
        </w:rPr>
        <w:t>Санкционирование и дальнейшая оплата расходов учреждений для выплаты ежемесячного денежного вознаграждения за классное руководство педагогич</w:t>
      </w:r>
      <w:r w:rsidR="00C12125" w:rsidRPr="00DA625D">
        <w:rPr>
          <w:sz w:val="28"/>
          <w:szCs w:val="28"/>
        </w:rPr>
        <w:t>е</w:t>
      </w:r>
      <w:r w:rsidR="00C12125" w:rsidRPr="00DA625D">
        <w:rPr>
          <w:sz w:val="28"/>
          <w:szCs w:val="28"/>
        </w:rPr>
        <w:t>ским работникам осуществляется в порядке, установленном департаментом финансов администрации Волгограда и законодательством Российской Фед</w:t>
      </w:r>
      <w:r w:rsidR="00C12125" w:rsidRPr="00DA625D">
        <w:rPr>
          <w:sz w:val="28"/>
          <w:szCs w:val="28"/>
        </w:rPr>
        <w:t>е</w:t>
      </w:r>
      <w:r w:rsidR="00C12125" w:rsidRPr="00DA625D">
        <w:rPr>
          <w:sz w:val="28"/>
          <w:szCs w:val="28"/>
        </w:rPr>
        <w:t>рации.</w:t>
      </w:r>
    </w:p>
    <w:p w:rsidR="00C12125" w:rsidRDefault="00C12125" w:rsidP="00205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125" w:rsidRDefault="00C12125" w:rsidP="00205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125" w:rsidRDefault="00C12125" w:rsidP="00205A42">
      <w:pPr>
        <w:jc w:val="both"/>
        <w:rPr>
          <w:sz w:val="28"/>
          <w:szCs w:val="28"/>
        </w:rPr>
      </w:pPr>
    </w:p>
    <w:p w:rsidR="00C12125" w:rsidRDefault="00C12125" w:rsidP="00205A4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администрации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</w:t>
      </w:r>
    </w:p>
    <w:p w:rsidR="00A22712" w:rsidRDefault="00A22712" w:rsidP="00205A42">
      <w:pPr>
        <w:ind w:left="6096"/>
        <w:jc w:val="both"/>
        <w:rPr>
          <w:sz w:val="28"/>
        </w:rPr>
      </w:pPr>
    </w:p>
    <w:sectPr w:rsidR="00A22712" w:rsidSect="00DA625D">
      <w:headerReference w:type="even" r:id="rId10"/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7F" w:rsidRDefault="0028487F">
      <w:r>
        <w:separator/>
      </w:r>
    </w:p>
  </w:endnote>
  <w:endnote w:type="continuationSeparator" w:id="0">
    <w:p w:rsidR="0028487F" w:rsidRDefault="0028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7F" w:rsidRDefault="0028487F">
      <w:r>
        <w:separator/>
      </w:r>
    </w:p>
  </w:footnote>
  <w:footnote w:type="continuationSeparator" w:id="0">
    <w:p w:rsidR="0028487F" w:rsidRDefault="0028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75509"/>
      <w:docPartObj>
        <w:docPartGallery w:val="Page Numbers (Top of Page)"/>
        <w:docPartUnique/>
      </w:docPartObj>
    </w:sdtPr>
    <w:sdtEndPr/>
    <w:sdtContent>
      <w:p w:rsidR="00702122" w:rsidRDefault="00702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42">
          <w:rPr>
            <w:noProof/>
          </w:rPr>
          <w:t>2</w:t>
        </w:r>
        <w:r>
          <w:fldChar w:fldCharType="end"/>
        </w:r>
      </w:p>
    </w:sdtContent>
  </w:sdt>
  <w:p w:rsidR="00C7464A" w:rsidRDefault="00C74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D11EC"/>
    <w:multiLevelType w:val="multilevel"/>
    <w:tmpl w:val="84CCE7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29FD144F"/>
    <w:multiLevelType w:val="hybridMultilevel"/>
    <w:tmpl w:val="669858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423120"/>
    <w:multiLevelType w:val="hybridMultilevel"/>
    <w:tmpl w:val="1F4ADEDC"/>
    <w:lvl w:ilvl="0" w:tplc="901E714E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36E84"/>
    <w:rsid w:val="00041D16"/>
    <w:rsid w:val="00061A11"/>
    <w:rsid w:val="000662A0"/>
    <w:rsid w:val="000721B0"/>
    <w:rsid w:val="00083046"/>
    <w:rsid w:val="00083C5B"/>
    <w:rsid w:val="000A411A"/>
    <w:rsid w:val="000B0D4D"/>
    <w:rsid w:val="000B6510"/>
    <w:rsid w:val="000C1AD1"/>
    <w:rsid w:val="000C41CF"/>
    <w:rsid w:val="000C6AD8"/>
    <w:rsid w:val="000D4E83"/>
    <w:rsid w:val="00113153"/>
    <w:rsid w:val="00140EF4"/>
    <w:rsid w:val="00154D54"/>
    <w:rsid w:val="001936BE"/>
    <w:rsid w:val="001A0C02"/>
    <w:rsid w:val="001C1901"/>
    <w:rsid w:val="001C4415"/>
    <w:rsid w:val="001C62A1"/>
    <w:rsid w:val="001E4E30"/>
    <w:rsid w:val="00205A42"/>
    <w:rsid w:val="00221B4E"/>
    <w:rsid w:val="00247E69"/>
    <w:rsid w:val="00263354"/>
    <w:rsid w:val="002679A7"/>
    <w:rsid w:val="0028487F"/>
    <w:rsid w:val="00285392"/>
    <w:rsid w:val="002A0247"/>
    <w:rsid w:val="002E1BF9"/>
    <w:rsid w:val="002F5935"/>
    <w:rsid w:val="002F7B37"/>
    <w:rsid w:val="00301B69"/>
    <w:rsid w:val="00381004"/>
    <w:rsid w:val="003849DD"/>
    <w:rsid w:val="003952C1"/>
    <w:rsid w:val="003E2D7C"/>
    <w:rsid w:val="003F1370"/>
    <w:rsid w:val="00451FC2"/>
    <w:rsid w:val="00460E01"/>
    <w:rsid w:val="0046128C"/>
    <w:rsid w:val="0047057A"/>
    <w:rsid w:val="004726C6"/>
    <w:rsid w:val="00480296"/>
    <w:rsid w:val="00494A00"/>
    <w:rsid w:val="004B0723"/>
    <w:rsid w:val="004B09FD"/>
    <w:rsid w:val="004B4147"/>
    <w:rsid w:val="004B6313"/>
    <w:rsid w:val="004D1647"/>
    <w:rsid w:val="004E62D4"/>
    <w:rsid w:val="00505C6B"/>
    <w:rsid w:val="005264D7"/>
    <w:rsid w:val="0053158C"/>
    <w:rsid w:val="00561719"/>
    <w:rsid w:val="00583F87"/>
    <w:rsid w:val="00584481"/>
    <w:rsid w:val="00597ECB"/>
    <w:rsid w:val="005D4338"/>
    <w:rsid w:val="005E3CCB"/>
    <w:rsid w:val="005F4343"/>
    <w:rsid w:val="006031D6"/>
    <w:rsid w:val="00604030"/>
    <w:rsid w:val="0060624E"/>
    <w:rsid w:val="00617D61"/>
    <w:rsid w:val="006311D5"/>
    <w:rsid w:val="00634605"/>
    <w:rsid w:val="0068104F"/>
    <w:rsid w:val="00681685"/>
    <w:rsid w:val="00691A8F"/>
    <w:rsid w:val="006B1805"/>
    <w:rsid w:val="006E24DE"/>
    <w:rsid w:val="006E3788"/>
    <w:rsid w:val="00702122"/>
    <w:rsid w:val="0070321A"/>
    <w:rsid w:val="00711E00"/>
    <w:rsid w:val="0071412E"/>
    <w:rsid w:val="00727559"/>
    <w:rsid w:val="00733967"/>
    <w:rsid w:val="00735087"/>
    <w:rsid w:val="00754A99"/>
    <w:rsid w:val="0077102B"/>
    <w:rsid w:val="007B2725"/>
    <w:rsid w:val="007B327B"/>
    <w:rsid w:val="007B4ABB"/>
    <w:rsid w:val="007C5CF2"/>
    <w:rsid w:val="007C6B40"/>
    <w:rsid w:val="00815C43"/>
    <w:rsid w:val="008231A6"/>
    <w:rsid w:val="00831523"/>
    <w:rsid w:val="00837D5F"/>
    <w:rsid w:val="00845A55"/>
    <w:rsid w:val="00856205"/>
    <w:rsid w:val="008656CF"/>
    <w:rsid w:val="0088129F"/>
    <w:rsid w:val="00891A26"/>
    <w:rsid w:val="008A23B6"/>
    <w:rsid w:val="008C25DC"/>
    <w:rsid w:val="008D1CD2"/>
    <w:rsid w:val="008D1D6C"/>
    <w:rsid w:val="008E26A6"/>
    <w:rsid w:val="009241A0"/>
    <w:rsid w:val="009414E1"/>
    <w:rsid w:val="009736EF"/>
    <w:rsid w:val="00973CAD"/>
    <w:rsid w:val="009A119B"/>
    <w:rsid w:val="009A2647"/>
    <w:rsid w:val="009B24BF"/>
    <w:rsid w:val="009C28D9"/>
    <w:rsid w:val="009E73B8"/>
    <w:rsid w:val="00A13406"/>
    <w:rsid w:val="00A2123D"/>
    <w:rsid w:val="00A22712"/>
    <w:rsid w:val="00A4651A"/>
    <w:rsid w:val="00A63658"/>
    <w:rsid w:val="00A745C3"/>
    <w:rsid w:val="00A7617C"/>
    <w:rsid w:val="00AA3144"/>
    <w:rsid w:val="00AB30ED"/>
    <w:rsid w:val="00AC0389"/>
    <w:rsid w:val="00AC2AB1"/>
    <w:rsid w:val="00AD12DB"/>
    <w:rsid w:val="00AE1272"/>
    <w:rsid w:val="00AE1853"/>
    <w:rsid w:val="00AE3E24"/>
    <w:rsid w:val="00B03837"/>
    <w:rsid w:val="00B15F78"/>
    <w:rsid w:val="00B35DBB"/>
    <w:rsid w:val="00B45969"/>
    <w:rsid w:val="00B466F7"/>
    <w:rsid w:val="00B47415"/>
    <w:rsid w:val="00B60705"/>
    <w:rsid w:val="00B734A0"/>
    <w:rsid w:val="00B73D41"/>
    <w:rsid w:val="00B81753"/>
    <w:rsid w:val="00BA09DF"/>
    <w:rsid w:val="00BC1267"/>
    <w:rsid w:val="00BE0948"/>
    <w:rsid w:val="00BE12BF"/>
    <w:rsid w:val="00BE29EA"/>
    <w:rsid w:val="00BE5173"/>
    <w:rsid w:val="00C12125"/>
    <w:rsid w:val="00C239B5"/>
    <w:rsid w:val="00C316A1"/>
    <w:rsid w:val="00C3513B"/>
    <w:rsid w:val="00C45431"/>
    <w:rsid w:val="00C7464A"/>
    <w:rsid w:val="00C80B87"/>
    <w:rsid w:val="00C81751"/>
    <w:rsid w:val="00CB0A31"/>
    <w:rsid w:val="00CC20AC"/>
    <w:rsid w:val="00CC399D"/>
    <w:rsid w:val="00CC7FFE"/>
    <w:rsid w:val="00CD547A"/>
    <w:rsid w:val="00D0633B"/>
    <w:rsid w:val="00D10AA0"/>
    <w:rsid w:val="00D11DD0"/>
    <w:rsid w:val="00D12DDB"/>
    <w:rsid w:val="00D21E24"/>
    <w:rsid w:val="00D262F2"/>
    <w:rsid w:val="00D306FF"/>
    <w:rsid w:val="00D30AB5"/>
    <w:rsid w:val="00D41D71"/>
    <w:rsid w:val="00D56B54"/>
    <w:rsid w:val="00D570CB"/>
    <w:rsid w:val="00D658A3"/>
    <w:rsid w:val="00D66E3F"/>
    <w:rsid w:val="00DA625D"/>
    <w:rsid w:val="00DB416A"/>
    <w:rsid w:val="00DB57F6"/>
    <w:rsid w:val="00DD2F78"/>
    <w:rsid w:val="00DE3302"/>
    <w:rsid w:val="00E13B50"/>
    <w:rsid w:val="00E14C00"/>
    <w:rsid w:val="00E24B7B"/>
    <w:rsid w:val="00E2718A"/>
    <w:rsid w:val="00E3177D"/>
    <w:rsid w:val="00E41FE0"/>
    <w:rsid w:val="00E45158"/>
    <w:rsid w:val="00E479F7"/>
    <w:rsid w:val="00E53CA7"/>
    <w:rsid w:val="00E90AA8"/>
    <w:rsid w:val="00EA080B"/>
    <w:rsid w:val="00EA1D03"/>
    <w:rsid w:val="00EC16DF"/>
    <w:rsid w:val="00EC4EA3"/>
    <w:rsid w:val="00ED6B14"/>
    <w:rsid w:val="00EE34EA"/>
    <w:rsid w:val="00EF262F"/>
    <w:rsid w:val="00F0143A"/>
    <w:rsid w:val="00F236E6"/>
    <w:rsid w:val="00F6125C"/>
    <w:rsid w:val="00F61A83"/>
    <w:rsid w:val="00F71699"/>
    <w:rsid w:val="00F810E4"/>
    <w:rsid w:val="00F8637F"/>
    <w:rsid w:val="00F91DCF"/>
    <w:rsid w:val="00F9437C"/>
    <w:rsid w:val="00FA55A5"/>
    <w:rsid w:val="00FC3E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B6313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12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B6313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121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290D13E5C143A13A6933A282D66052CD89C9DBDFF96DB6ACB32E9EF97654A281230572AC1D22A45F0A18G64F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D4165-C4FD-4E34-9B80-BBD76D21416E}"/>
</file>

<file path=customXml/itemProps2.xml><?xml version="1.0" encoding="utf-8"?>
<ds:datastoreItem xmlns:ds="http://schemas.openxmlformats.org/officeDocument/2006/customXml" ds:itemID="{C9EFB51B-EDB6-4E61-89B6-63C902A896F3}"/>
</file>

<file path=customXml/itemProps3.xml><?xml version="1.0" encoding="utf-8"?>
<ds:datastoreItem xmlns:ds="http://schemas.openxmlformats.org/officeDocument/2006/customXml" ds:itemID="{F819331F-0250-473F-BB1E-28188F5A3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970</Words>
  <Characters>8351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16</cp:revision>
  <cp:lastPrinted>2020-12-21T07:00:00Z</cp:lastPrinted>
  <dcterms:created xsi:type="dcterms:W3CDTF">2020-12-18T05:53:00Z</dcterms:created>
  <dcterms:modified xsi:type="dcterms:W3CDTF">2021-01-12T09:35:00Z</dcterms:modified>
</cp:coreProperties>
</file>