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A0D85">
        <w:rPr>
          <w:sz w:val="28"/>
        </w:rPr>
        <w:t xml:space="preserve">15.08.2019 </w:t>
      </w:r>
      <w:r>
        <w:rPr>
          <w:sz w:val="28"/>
        </w:rPr>
        <w:t xml:space="preserve"> №</w:t>
      </w:r>
      <w:r w:rsidR="005A0D85">
        <w:rPr>
          <w:sz w:val="28"/>
        </w:rPr>
        <w:t xml:space="preserve"> 949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D24E40" w:rsidRDefault="00D24E40" w:rsidP="00D24E40">
      <w:pPr>
        <w:suppressAutoHyphens/>
        <w:ind w:left="567"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Волгограда от 01 февраля 2017 г. № 132 «Об утверждении </w:t>
      </w:r>
      <w:r>
        <w:rPr>
          <w:spacing w:val="-4"/>
          <w:sz w:val="28"/>
          <w:szCs w:val="28"/>
        </w:rPr>
        <w:t>схем</w:t>
      </w:r>
      <w:r w:rsidR="00B74E76">
        <w:rPr>
          <w:spacing w:val="-4"/>
          <w:sz w:val="28"/>
          <w:szCs w:val="28"/>
        </w:rPr>
        <w:t>ы размещения нестационарных тор</w:t>
      </w:r>
      <w:r>
        <w:rPr>
          <w:spacing w:val="-4"/>
          <w:sz w:val="28"/>
          <w:szCs w:val="28"/>
        </w:rPr>
        <w:t>говых</w:t>
      </w:r>
      <w:r>
        <w:rPr>
          <w:sz w:val="28"/>
          <w:szCs w:val="28"/>
        </w:rPr>
        <w:t xml:space="preserve"> объектов на территории Волгограда на 2017–2021 годы»</w:t>
      </w:r>
    </w:p>
    <w:p w:rsidR="00D24E40" w:rsidRDefault="00D24E40" w:rsidP="00D24E40">
      <w:pPr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24E40" w:rsidRDefault="00D24E40" w:rsidP="00D24E40">
      <w:pPr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24E40" w:rsidRDefault="00D24E40" w:rsidP="00D24E40">
      <w:pPr>
        <w:ind w:left="567"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Порядком разработки и утверждения схем размещения нестационарных торговых объектов на территории Волгоградской области, утвержденным приказом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рии Волгоградской области», на основании протокола заседания межведо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ственной комиссии по формированию схемы размещения нестационарных то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говых объектов на территории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Волгограда от 25 июня 2019 г. № 3, руково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ствуясь статьями 7, 39 Устава города-героя Волгограда, администрация Волг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града</w:t>
      </w:r>
    </w:p>
    <w:p w:rsidR="00D24E40" w:rsidRDefault="00D24E40" w:rsidP="00D24E40">
      <w:pPr>
        <w:suppressAutoHyphens/>
        <w:ind w:left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24E40" w:rsidRDefault="00D24E40" w:rsidP="00D24E4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схему размещения нестационарных торговых объектов на</w:t>
      </w:r>
      <w:r>
        <w:rPr>
          <w:sz w:val="28"/>
          <w:szCs w:val="28"/>
        </w:rPr>
        <w:br/>
        <w:t>территории Волгограда на 2017–2021 годы, утвержденную постановлением</w:t>
      </w:r>
      <w:r>
        <w:rPr>
          <w:sz w:val="28"/>
          <w:szCs w:val="28"/>
        </w:rPr>
        <w:br/>
        <w:t>администрации Волгограда от 01 февраля 2017 г. № 132 «Об утверждении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размещения нестационарных торговых объектов на территории Волгограда</w:t>
      </w:r>
      <w:r>
        <w:rPr>
          <w:sz w:val="28"/>
          <w:szCs w:val="28"/>
        </w:rPr>
        <w:br/>
        <w:t>на 2017–2021 годы», следующие изменения:</w:t>
      </w:r>
    </w:p>
    <w:p w:rsidR="00D24E40" w:rsidRDefault="00D24E40" w:rsidP="00B74E7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</w:t>
      </w:r>
      <w:proofErr w:type="gramStart"/>
      <w:r w:rsidR="00B74E76">
        <w:rPr>
          <w:sz w:val="28"/>
          <w:szCs w:val="28"/>
        </w:rPr>
        <w:t>разделе</w:t>
      </w:r>
      <w:proofErr w:type="gramEnd"/>
      <w:r w:rsidR="00B74E76">
        <w:rPr>
          <w:sz w:val="28"/>
          <w:szCs w:val="28"/>
        </w:rPr>
        <w:t xml:space="preserve"> «Красноармейский район» строки 57, </w:t>
      </w:r>
      <w:r>
        <w:rPr>
          <w:sz w:val="28"/>
          <w:szCs w:val="28"/>
        </w:rPr>
        <w:t xml:space="preserve">269, 270, 273 признать утратившими силу. 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«Кировский район»:</w:t>
      </w:r>
    </w:p>
    <w:p w:rsidR="00D24E40" w:rsidRDefault="00B74E76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D24E40">
        <w:rPr>
          <w:sz w:val="28"/>
          <w:szCs w:val="28"/>
        </w:rPr>
        <w:t>Дополнить строкой 177 следующего содержания:</w:t>
      </w:r>
    </w:p>
    <w:p w:rsidR="00D24E40" w:rsidRPr="00B74E76" w:rsidRDefault="00D24E40" w:rsidP="00D24E40">
      <w:pPr>
        <w:suppressAutoHyphens/>
        <w:ind w:left="567" w:firstLine="851"/>
        <w:jc w:val="both"/>
        <w:rPr>
          <w:sz w:val="16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964"/>
        <w:gridCol w:w="2722"/>
        <w:gridCol w:w="1417"/>
        <w:gridCol w:w="1418"/>
        <w:gridCol w:w="538"/>
        <w:gridCol w:w="2013"/>
      </w:tblGrid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Армии, вблизи жилого дома №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Бахчевой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Бахчевые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Pr="00B74E76" w:rsidRDefault="00D24E40" w:rsidP="00D24E40">
      <w:pPr>
        <w:suppressAutoHyphens/>
        <w:ind w:left="567" w:firstLine="851"/>
        <w:jc w:val="both"/>
        <w:rPr>
          <w:sz w:val="12"/>
          <w:szCs w:val="28"/>
        </w:rPr>
      </w:pP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Строку 80 изложить в следующей редакции:</w:t>
      </w:r>
    </w:p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964"/>
        <w:gridCol w:w="2722"/>
        <w:gridCol w:w="1417"/>
        <w:gridCol w:w="1418"/>
        <w:gridCol w:w="538"/>
        <w:gridCol w:w="2013"/>
      </w:tblGrid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им. Кирова, 98а</w:t>
            </w:r>
            <w:r w:rsidR="00B74E7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строение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74E7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участок, права </w:t>
            </w:r>
            <w:r w:rsidR="0040528D">
              <w:rPr>
                <w:color w:val="000000"/>
                <w:sz w:val="28"/>
                <w:szCs w:val="28"/>
              </w:rPr>
              <w:t xml:space="preserve">на который не </w:t>
            </w:r>
            <w:r w:rsidR="0040528D">
              <w:rPr>
                <w:color w:val="000000"/>
                <w:sz w:val="28"/>
                <w:szCs w:val="28"/>
              </w:rPr>
              <w:lastRenderedPageBreak/>
              <w:t>разграничены</w:t>
            </w:r>
          </w:p>
        </w:tc>
      </w:tr>
    </w:tbl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«Советский район»: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Строку 163 изложить в следующей редакции:</w:t>
      </w:r>
    </w:p>
    <w:p w:rsidR="00D24E40" w:rsidRPr="00B74E76" w:rsidRDefault="00D24E40" w:rsidP="00D24E40">
      <w:pPr>
        <w:suppressAutoHyphens/>
        <w:ind w:left="567" w:firstLine="851"/>
        <w:jc w:val="both"/>
        <w:rPr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964"/>
        <w:gridCol w:w="2722"/>
        <w:gridCol w:w="1417"/>
        <w:gridCol w:w="1418"/>
        <w:gridCol w:w="538"/>
        <w:gridCol w:w="2013"/>
      </w:tblGrid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Казахская,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ческая печатная проду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Pr="00B74E76" w:rsidRDefault="00D24E40" w:rsidP="00D24E40">
      <w:pPr>
        <w:suppressAutoHyphens/>
        <w:ind w:left="567" w:firstLine="851"/>
        <w:jc w:val="both"/>
        <w:rPr>
          <w:sz w:val="22"/>
          <w:szCs w:val="12"/>
        </w:rPr>
      </w:pPr>
    </w:p>
    <w:p w:rsidR="00D24E40" w:rsidRDefault="00B74E76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 Строки 102, 233, </w:t>
      </w:r>
      <w:r w:rsidR="00D24E40">
        <w:rPr>
          <w:sz w:val="28"/>
          <w:szCs w:val="28"/>
        </w:rPr>
        <w:t>234, 252, 253 признать утратившими силу.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«Ворошиловский район»:</w:t>
      </w:r>
    </w:p>
    <w:p w:rsidR="00D24E40" w:rsidRDefault="00B74E76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Дополнить строками 244–</w:t>
      </w:r>
      <w:r w:rsidR="00D24E40">
        <w:rPr>
          <w:sz w:val="28"/>
          <w:szCs w:val="28"/>
        </w:rPr>
        <w:t>246 следующего содержания:</w:t>
      </w:r>
    </w:p>
    <w:p w:rsidR="00D24E40" w:rsidRPr="00B74E76" w:rsidRDefault="00D24E40" w:rsidP="00D24E40">
      <w:pPr>
        <w:suppressAutoHyphens/>
        <w:ind w:left="567" w:firstLine="851"/>
        <w:jc w:val="both"/>
        <w:rPr>
          <w:sz w:val="18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964"/>
        <w:gridCol w:w="2722"/>
        <w:gridCol w:w="1417"/>
        <w:gridCol w:w="1418"/>
        <w:gridCol w:w="538"/>
        <w:gridCol w:w="2013"/>
      </w:tblGrid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Североморцев,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проду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ции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74E76">
            <w:pPr>
              <w:ind w:left="-79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B74E76">
              <w:rPr>
                <w:color w:val="000000"/>
                <w:sz w:val="28"/>
                <w:szCs w:val="28"/>
              </w:rPr>
              <w:t>Пугачевская, 5</w:t>
            </w: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</w:t>
            </w:r>
            <w:r w:rsidR="00B74E76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венные или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</w:t>
            </w:r>
            <w:r w:rsidR="00B74E76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венные товары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74E76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74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им. </w:t>
            </w:r>
            <w:r w:rsidR="00B74E76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илицион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ра </w:t>
            </w:r>
            <w:proofErr w:type="spellStart"/>
            <w:r>
              <w:rPr>
                <w:color w:val="000000"/>
                <w:sz w:val="28"/>
                <w:szCs w:val="28"/>
              </w:rPr>
              <w:t>Буханцева</w:t>
            </w:r>
            <w:proofErr w:type="spellEnd"/>
            <w:r>
              <w:rPr>
                <w:color w:val="000000"/>
                <w:sz w:val="28"/>
                <w:szCs w:val="28"/>
              </w:rPr>
              <w:t>, 10</w:t>
            </w:r>
            <w:r w:rsidR="00B74E7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</w:t>
            </w:r>
            <w:r w:rsidR="00B74E76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венные или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</w:t>
            </w:r>
            <w:r w:rsidR="00B74E76">
              <w:rPr>
                <w:color w:val="000000"/>
                <w:sz w:val="28"/>
                <w:szCs w:val="28"/>
              </w:rPr>
              <w:softHyphen/>
              <w:t xml:space="preserve">венные </w:t>
            </w:r>
            <w:r>
              <w:rPr>
                <w:color w:val="000000"/>
                <w:sz w:val="28"/>
                <w:szCs w:val="28"/>
              </w:rPr>
              <w:t xml:space="preserve">товары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Pr="0040528D" w:rsidRDefault="00D24E40" w:rsidP="00D24E40">
      <w:pPr>
        <w:suppressAutoHyphens/>
        <w:ind w:left="567" w:firstLine="851"/>
        <w:jc w:val="both"/>
        <w:rPr>
          <w:sz w:val="16"/>
          <w:szCs w:val="12"/>
        </w:rPr>
      </w:pP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Строки 165, 232 признать утратившими силу.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«Центральный район»:</w:t>
      </w:r>
    </w:p>
    <w:p w:rsidR="00D24E40" w:rsidRDefault="00DB7FC3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 Дополнить строками 164–</w:t>
      </w:r>
      <w:r w:rsidR="00D24E40">
        <w:rPr>
          <w:sz w:val="28"/>
          <w:szCs w:val="28"/>
        </w:rPr>
        <w:t>171 следующего содержания:</w:t>
      </w:r>
    </w:p>
    <w:p w:rsidR="00B74E76" w:rsidRDefault="00B74E76" w:rsidP="00D24E40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3"/>
        <w:gridCol w:w="2722"/>
        <w:gridCol w:w="1134"/>
        <w:gridCol w:w="1530"/>
        <w:gridCol w:w="709"/>
        <w:gridCol w:w="2013"/>
      </w:tblGrid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1.1149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9F2C3E" w:rsidP="009F2C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Наб. 62-й Армии, 1б (перед</w:t>
            </w:r>
            <w:r w:rsidR="00B74E76">
              <w:rPr>
                <w:color w:val="000000"/>
                <w:sz w:val="28"/>
                <w:szCs w:val="28"/>
              </w:rPr>
              <w:t xml:space="preserve"> интеракти</w:t>
            </w:r>
            <w:r w:rsidR="00B74E76">
              <w:rPr>
                <w:color w:val="000000"/>
                <w:sz w:val="28"/>
                <w:szCs w:val="28"/>
              </w:rPr>
              <w:t>в</w:t>
            </w:r>
            <w:r w:rsidR="00B74E7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ым</w:t>
            </w:r>
            <w:r w:rsidR="00B74E76">
              <w:rPr>
                <w:color w:val="000000"/>
                <w:sz w:val="28"/>
                <w:szCs w:val="28"/>
              </w:rPr>
              <w:t xml:space="preserve"> музе</w:t>
            </w:r>
            <w:r>
              <w:rPr>
                <w:color w:val="000000"/>
                <w:sz w:val="28"/>
                <w:szCs w:val="28"/>
              </w:rPr>
              <w:t>ем</w:t>
            </w:r>
            <w:r w:rsidR="00B74E76">
              <w:rPr>
                <w:color w:val="000000"/>
                <w:sz w:val="28"/>
                <w:szCs w:val="28"/>
              </w:rPr>
              <w:t xml:space="preserve"> </w:t>
            </w:r>
            <w:r w:rsidR="00B74E76" w:rsidRPr="00B74E76">
              <w:rPr>
                <w:color w:val="000000"/>
                <w:spacing w:val="-4"/>
                <w:sz w:val="28"/>
                <w:szCs w:val="28"/>
              </w:rPr>
              <w:t>«Ро</w:t>
            </w:r>
            <w:r w:rsidR="00B74E76" w:rsidRPr="00B74E76">
              <w:rPr>
                <w:color w:val="000000"/>
                <w:spacing w:val="-4"/>
                <w:sz w:val="28"/>
                <w:szCs w:val="28"/>
              </w:rPr>
              <w:t>с</w:t>
            </w:r>
            <w:r w:rsidR="00B74E76" w:rsidRPr="00B74E76">
              <w:rPr>
                <w:color w:val="000000"/>
                <w:spacing w:val="-4"/>
                <w:sz w:val="28"/>
                <w:szCs w:val="28"/>
              </w:rPr>
              <w:t>сия</w:t>
            </w:r>
            <w:r>
              <w:rPr>
                <w:color w:val="000000"/>
                <w:spacing w:val="-4"/>
                <w:sz w:val="28"/>
                <w:szCs w:val="28"/>
              </w:rPr>
              <w:t> </w:t>
            </w:r>
            <w:r w:rsidR="00B74E76" w:rsidRPr="00B74E76">
              <w:rPr>
                <w:color w:val="000000"/>
                <w:spacing w:val="-4"/>
                <w:sz w:val="28"/>
                <w:szCs w:val="28"/>
              </w:rPr>
              <w:t>–</w:t>
            </w:r>
            <w:r w:rsidR="00B74E76">
              <w:rPr>
                <w:color w:val="000000"/>
                <w:sz w:val="28"/>
                <w:szCs w:val="28"/>
              </w:rPr>
              <w:t xml:space="preserve"> </w:t>
            </w:r>
            <w:r w:rsidR="00D24E40">
              <w:rPr>
                <w:color w:val="000000"/>
                <w:sz w:val="28"/>
                <w:szCs w:val="28"/>
              </w:rPr>
              <w:t>моя история»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Сладкая вата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40528D" w:rsidRDefault="0040528D">
      <w:pPr>
        <w:tabs>
          <w:tab w:val="left" w:pos="1355"/>
          <w:tab w:val="left" w:pos="2348"/>
          <w:tab w:val="left" w:pos="5070"/>
          <w:tab w:val="left" w:pos="6204"/>
          <w:tab w:val="left" w:pos="7734"/>
          <w:tab w:val="left" w:pos="8443"/>
        </w:tabs>
        <w:suppressAutoHyphens/>
        <w:ind w:left="6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0528D" w:rsidRDefault="0040528D">
      <w:pPr>
        <w:tabs>
          <w:tab w:val="left" w:pos="1355"/>
          <w:tab w:val="left" w:pos="2348"/>
          <w:tab w:val="left" w:pos="5070"/>
          <w:tab w:val="left" w:pos="6204"/>
          <w:tab w:val="left" w:pos="7734"/>
          <w:tab w:val="left" w:pos="8443"/>
        </w:tabs>
        <w:suppressAutoHyphens/>
        <w:ind w:left="642"/>
        <w:rPr>
          <w:color w:val="000000"/>
          <w:sz w:val="28"/>
          <w:szCs w:val="28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3"/>
        <w:gridCol w:w="2722"/>
        <w:gridCol w:w="1134"/>
        <w:gridCol w:w="1530"/>
        <w:gridCol w:w="709"/>
        <w:gridCol w:w="2013"/>
      </w:tblGrid>
      <w:tr w:rsidR="0040528D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8D" w:rsidRDefault="0040528D" w:rsidP="0040528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B637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/>
                <w:sz w:val="28"/>
                <w:szCs w:val="28"/>
              </w:rPr>
              <w:t>В.И.</w:t>
            </w:r>
            <w:r w:rsidR="00D24E40">
              <w:rPr>
                <w:color w:val="000000"/>
                <w:sz w:val="28"/>
                <w:szCs w:val="28"/>
              </w:rPr>
              <w:t>Ленина</w:t>
            </w:r>
            <w:proofErr w:type="spellEnd"/>
            <w:r w:rsidR="00D24E40">
              <w:rPr>
                <w:color w:val="000000"/>
                <w:sz w:val="28"/>
                <w:szCs w:val="28"/>
              </w:rPr>
              <w:t>, 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льон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Но</w:t>
            </w:r>
            <w:r w:rsidR="00B63785">
              <w:rPr>
                <w:color w:val="000000"/>
                <w:sz w:val="28"/>
                <w:szCs w:val="28"/>
              </w:rPr>
              <w:t>вороссийская</w:t>
            </w:r>
            <w:proofErr w:type="gramEnd"/>
            <w:r w:rsidR="00B63785">
              <w:rPr>
                <w:color w:val="000000"/>
                <w:sz w:val="28"/>
                <w:szCs w:val="28"/>
              </w:rPr>
              <w:t>, напротив здания № 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ственные и непр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9F2C3E" w:rsidP="009F2C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Наб. 62-й Армии, 1б (перед интеракти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ным музеем 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«Ро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с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сия</w:t>
            </w:r>
            <w:r>
              <w:rPr>
                <w:color w:val="000000"/>
                <w:spacing w:val="-4"/>
                <w:sz w:val="28"/>
                <w:szCs w:val="28"/>
              </w:rPr>
              <w:t> 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моя история»)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9F2C3E" w:rsidP="00B63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Наб. 62-й Армии, 1б (перед интеракти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ным музеем 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«Ро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с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сия</w:t>
            </w:r>
            <w:r>
              <w:rPr>
                <w:color w:val="000000"/>
                <w:spacing w:val="-4"/>
                <w:sz w:val="28"/>
                <w:szCs w:val="28"/>
              </w:rPr>
              <w:t> </w:t>
            </w:r>
            <w:r w:rsidRPr="00B74E76">
              <w:rPr>
                <w:color w:val="000000"/>
                <w:spacing w:val="-4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моя история»)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динг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Безалк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63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Верхняя терраса наб</w:t>
            </w:r>
            <w:r w:rsidR="00B637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62-й Армии (слева от фонтана «Искусство»)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динг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Безалк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63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Верхняя терраса наб</w:t>
            </w:r>
            <w:r w:rsidR="00B637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62-й Армии (справа от фонтана «Искусство»)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динг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Безалк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1.1156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2033AE" w:rsidP="002033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24E40">
              <w:rPr>
                <w:color w:val="000000"/>
                <w:sz w:val="28"/>
                <w:szCs w:val="28"/>
              </w:rPr>
              <w:t xml:space="preserve">л. 7-й </w:t>
            </w:r>
            <w:proofErr w:type="gramStart"/>
            <w:r w:rsidR="00D24E40">
              <w:rPr>
                <w:color w:val="000000"/>
                <w:sz w:val="28"/>
                <w:szCs w:val="28"/>
              </w:rPr>
              <w:t>Гварде</w:t>
            </w:r>
            <w:r w:rsidR="00D24E40">
              <w:rPr>
                <w:color w:val="000000"/>
                <w:sz w:val="28"/>
                <w:szCs w:val="28"/>
              </w:rPr>
              <w:t>й</w:t>
            </w:r>
            <w:r w:rsidR="00D24E40">
              <w:rPr>
                <w:color w:val="000000"/>
                <w:sz w:val="28"/>
                <w:szCs w:val="28"/>
              </w:rPr>
              <w:t>ской</w:t>
            </w:r>
            <w:proofErr w:type="gramEnd"/>
            <w:r w:rsidR="00D24E4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напротив дома № </w:t>
            </w:r>
            <w:r w:rsidR="00D24E40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овощная продукция и 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Pr="00B63785" w:rsidRDefault="00D24E40" w:rsidP="00D24E40">
      <w:pPr>
        <w:suppressAutoHyphens/>
        <w:ind w:firstLine="1418"/>
        <w:rPr>
          <w:sz w:val="28"/>
          <w:szCs w:val="12"/>
        </w:rPr>
      </w:pPr>
    </w:p>
    <w:p w:rsidR="00D24E40" w:rsidRDefault="00D24E40" w:rsidP="00D24E40">
      <w:pPr>
        <w:suppressAutoHyphens/>
        <w:ind w:firstLine="1418"/>
        <w:rPr>
          <w:sz w:val="28"/>
          <w:szCs w:val="28"/>
        </w:rPr>
      </w:pPr>
      <w:r>
        <w:rPr>
          <w:sz w:val="28"/>
          <w:szCs w:val="28"/>
        </w:rPr>
        <w:t>1.5.2</w:t>
      </w:r>
      <w:r w:rsidR="00445B95">
        <w:rPr>
          <w:sz w:val="28"/>
          <w:szCs w:val="28"/>
        </w:rPr>
        <w:t>. </w:t>
      </w:r>
      <w:r>
        <w:rPr>
          <w:sz w:val="28"/>
          <w:szCs w:val="28"/>
        </w:rPr>
        <w:t>Строку 35 изложить в следующей редакции:</w:t>
      </w:r>
    </w:p>
    <w:p w:rsidR="00D24E40" w:rsidRPr="00B63785" w:rsidRDefault="00D24E40" w:rsidP="00D24E40">
      <w:pPr>
        <w:suppressAutoHyphens/>
        <w:ind w:firstLine="1418"/>
        <w:rPr>
          <w:sz w:val="24"/>
          <w:szCs w:val="12"/>
        </w:rPr>
      </w:pPr>
    </w:p>
    <w:tbl>
      <w:tblPr>
        <w:tblW w:w="981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3"/>
        <w:gridCol w:w="2722"/>
        <w:gridCol w:w="1134"/>
        <w:gridCol w:w="1560"/>
        <w:gridCol w:w="709"/>
        <w:gridCol w:w="1984"/>
      </w:tblGrid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1.939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B63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24E40">
              <w:rPr>
                <w:color w:val="000000"/>
                <w:sz w:val="28"/>
                <w:szCs w:val="28"/>
              </w:rPr>
              <w:t>л. им. Ткачева,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 w:rsidP="00B63785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участок, права </w:t>
            </w:r>
            <w:r w:rsidR="0040528D">
              <w:rPr>
                <w:color w:val="000000"/>
                <w:sz w:val="28"/>
                <w:szCs w:val="28"/>
              </w:rPr>
              <w:t xml:space="preserve">на который не </w:t>
            </w:r>
            <w:r w:rsidR="0040528D">
              <w:rPr>
                <w:color w:val="000000"/>
                <w:sz w:val="28"/>
                <w:szCs w:val="28"/>
              </w:rPr>
              <w:lastRenderedPageBreak/>
              <w:t>разграничены</w:t>
            </w:r>
          </w:p>
        </w:tc>
      </w:tr>
    </w:tbl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«Краснооктябрьский район»: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Строки 45, 409, 410 изложить в следующей редакции:</w:t>
      </w:r>
    </w:p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3"/>
        <w:gridCol w:w="2722"/>
        <w:gridCol w:w="1134"/>
        <w:gridCol w:w="1560"/>
        <w:gridCol w:w="709"/>
        <w:gridCol w:w="1984"/>
      </w:tblGrid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им. Германа 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това,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1.1172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Северный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док,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24E40" w:rsidTr="00B63785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Северный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док,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прод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вольстве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 Строки 15, 303, 376, 386, 387, 389, 391, 408, 423 признать утратившими силу.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 </w:t>
      </w:r>
      <w:proofErr w:type="gramStart"/>
      <w:r>
        <w:rPr>
          <w:sz w:val="28"/>
          <w:szCs w:val="28"/>
        </w:rPr>
        <w:t>ра</w:t>
      </w:r>
      <w:r w:rsidR="00B63785">
        <w:rPr>
          <w:sz w:val="28"/>
          <w:szCs w:val="28"/>
        </w:rPr>
        <w:t>зделе</w:t>
      </w:r>
      <w:proofErr w:type="gramEnd"/>
      <w:r w:rsidR="00B63785">
        <w:rPr>
          <w:sz w:val="28"/>
          <w:szCs w:val="28"/>
        </w:rPr>
        <w:t xml:space="preserve"> «</w:t>
      </w:r>
      <w:proofErr w:type="spellStart"/>
      <w:r w:rsidR="00B63785">
        <w:rPr>
          <w:sz w:val="28"/>
          <w:szCs w:val="28"/>
        </w:rPr>
        <w:t>Тракторозаводский</w:t>
      </w:r>
      <w:proofErr w:type="spellEnd"/>
      <w:r w:rsidR="00B63785">
        <w:rPr>
          <w:sz w:val="28"/>
          <w:szCs w:val="28"/>
        </w:rPr>
        <w:t xml:space="preserve"> район» строки 37, 55, 59, 62, 64, 68, 69, 78, 83–</w:t>
      </w:r>
      <w:r>
        <w:rPr>
          <w:sz w:val="28"/>
          <w:szCs w:val="28"/>
        </w:rPr>
        <w:t>86, 118, 170, 193, 194, 196, 243, 304, 306, 309, 310, 343, 344, 36</w:t>
      </w:r>
      <w:r w:rsidR="00B63785">
        <w:rPr>
          <w:sz w:val="28"/>
          <w:szCs w:val="28"/>
        </w:rPr>
        <w:t>0, 361, 365, 367, 373, 374, 379–</w:t>
      </w:r>
      <w:r>
        <w:rPr>
          <w:sz w:val="28"/>
          <w:szCs w:val="28"/>
        </w:rPr>
        <w:t>385, 402, 405, 410, 426 признать утратившими силу.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«Дзержинский район»: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1.8.1. Строку 120 изложить в следующей редакции:</w:t>
      </w:r>
    </w:p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78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105"/>
        <w:gridCol w:w="2581"/>
        <w:gridCol w:w="1134"/>
        <w:gridCol w:w="1530"/>
        <w:gridCol w:w="709"/>
        <w:gridCol w:w="1984"/>
      </w:tblGrid>
      <w:tr w:rsidR="00D24E40" w:rsidTr="00B6378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1.1089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Новодвинская</w:t>
            </w:r>
            <w:proofErr w:type="spellEnd"/>
            <w:r w:rsidR="00B6378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севернее квартала 03_03_021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40" w:rsidRDefault="00D24E40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24E40" w:rsidRDefault="00D24E40" w:rsidP="00D24E40">
      <w:pPr>
        <w:suppressAutoHyphens/>
        <w:ind w:left="567" w:firstLine="851"/>
        <w:jc w:val="both"/>
        <w:rPr>
          <w:sz w:val="12"/>
          <w:szCs w:val="12"/>
        </w:rPr>
      </w:pP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1.8.2. Строки 11, 29, 105, 106, 150, 152, 157, 173, 177, 396, 408, 462 признать утратившими силу.</w:t>
      </w:r>
    </w:p>
    <w:p w:rsidR="00D24E40" w:rsidRDefault="00D24E40" w:rsidP="00D24E40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24E40" w:rsidRDefault="00D24E40" w:rsidP="00B63785">
      <w:pPr>
        <w:ind w:left="567"/>
        <w:jc w:val="both"/>
        <w:rPr>
          <w:sz w:val="28"/>
          <w:szCs w:val="28"/>
        </w:rPr>
      </w:pPr>
    </w:p>
    <w:p w:rsidR="00D24E40" w:rsidRDefault="00D24E40" w:rsidP="00B63785">
      <w:pPr>
        <w:ind w:left="567"/>
        <w:jc w:val="both"/>
        <w:rPr>
          <w:sz w:val="28"/>
          <w:szCs w:val="28"/>
        </w:rPr>
      </w:pPr>
    </w:p>
    <w:p w:rsidR="00D24E40" w:rsidRDefault="00D24E40" w:rsidP="00B63785">
      <w:pPr>
        <w:ind w:left="567"/>
        <w:jc w:val="both"/>
        <w:rPr>
          <w:sz w:val="28"/>
          <w:szCs w:val="28"/>
        </w:rPr>
      </w:pPr>
    </w:p>
    <w:p w:rsidR="00D24E40" w:rsidRDefault="00D24E40" w:rsidP="00D24E4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 Волгограда                                                                 </w:t>
      </w:r>
      <w:r w:rsidR="00B637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D24E40" w:rsidRDefault="00D24E40" w:rsidP="00B63785">
      <w:pPr>
        <w:ind w:left="567"/>
        <w:jc w:val="both"/>
        <w:rPr>
          <w:color w:val="000000"/>
          <w:sz w:val="28"/>
          <w:szCs w:val="28"/>
        </w:rPr>
      </w:pPr>
    </w:p>
    <w:p w:rsidR="00D24E40" w:rsidRDefault="00D24E40" w:rsidP="00B63785">
      <w:pPr>
        <w:ind w:left="567"/>
        <w:jc w:val="both"/>
        <w:rPr>
          <w:color w:val="000000"/>
          <w:sz w:val="28"/>
          <w:szCs w:val="28"/>
        </w:rPr>
      </w:pPr>
    </w:p>
    <w:p w:rsidR="00D24E40" w:rsidRDefault="00D24E40" w:rsidP="00B6378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4E40" w:rsidSect="00B74E76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3" w:rsidRDefault="00722C53">
      <w:r>
        <w:separator/>
      </w:r>
    </w:p>
  </w:endnote>
  <w:endnote w:type="continuationSeparator" w:id="0">
    <w:p w:rsidR="00722C53" w:rsidRDefault="007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3" w:rsidRDefault="00722C53">
      <w:r>
        <w:separator/>
      </w:r>
    </w:p>
  </w:footnote>
  <w:footnote w:type="continuationSeparator" w:id="0">
    <w:p w:rsidR="00722C53" w:rsidRDefault="0072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84">
          <w:rPr>
            <w:noProof/>
          </w:rPr>
          <w:t>2</w:t>
        </w:r>
        <w:r>
          <w:fldChar w:fldCharType="end"/>
        </w:r>
      </w:p>
    </w:sdtContent>
  </w:sdt>
  <w:p w:rsidR="006E187F" w:rsidRDefault="00754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A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528D"/>
    <w:rsid w:val="00406F7D"/>
    <w:rsid w:val="00407544"/>
    <w:rsid w:val="00414FC5"/>
    <w:rsid w:val="00422E42"/>
    <w:rsid w:val="00425873"/>
    <w:rsid w:val="00445B95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A0D85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54E84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9F2C3E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63785"/>
    <w:rsid w:val="00B74E7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4E40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B7FC3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D2692-3FA8-41E4-9906-20B11B94B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6EEEF-CB71-41A6-A28E-4191961A2410}"/>
</file>

<file path=customXml/itemProps3.xml><?xml version="1.0" encoding="utf-8"?>
<ds:datastoreItem xmlns:ds="http://schemas.openxmlformats.org/officeDocument/2006/customXml" ds:itemID="{B148998E-D334-418D-AD7A-41046DFC4686}"/>
</file>

<file path=customXml/itemProps4.xml><?xml version="1.0" encoding="utf-8"?>
<ds:datastoreItem xmlns:ds="http://schemas.openxmlformats.org/officeDocument/2006/customXml" ds:itemID="{4D105C85-74F1-4713-8FF7-3732C4D48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Пузына Алена Геннадьевна</cp:lastModifiedBy>
  <cp:revision>2</cp:revision>
  <cp:lastPrinted>2019-03-07T06:50:00Z</cp:lastPrinted>
  <dcterms:created xsi:type="dcterms:W3CDTF">2019-08-16T09:27:00Z</dcterms:created>
  <dcterms:modified xsi:type="dcterms:W3CDTF">2019-08-16T09:27:00Z</dcterms:modified>
</cp:coreProperties>
</file>