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668"/>
        <w:gridCol w:w="484"/>
        <w:gridCol w:w="2917"/>
        <w:gridCol w:w="5262"/>
      </w:tblGrid>
      <w:tr>
        <w:trPr>
          <w:trHeight w:val="283" w:hRule="auto"/>
          <w:jc w:val="left"/>
        </w:trPr>
        <w:tc>
          <w:tcPr>
            <w:tcW w:w="1033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04024339</w:t>
            </w:r>
            <w:r>
              <w:object w:dxaOrig="1032" w:dyaOrig="1073">
                <v:rect xmlns:o="urn:schemas-microsoft-com:office:office" xmlns:v="urn:schemas-microsoft-com:vml" id="rectole0000000000" style="width:51.600000pt;height:53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10331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4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46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6"/>
                <w:position w:val="0"/>
                <w:sz w:val="28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6"/>
                <w:position w:val="0"/>
                <w:sz w:val="28"/>
                <w:shd w:fill="auto" w:val="clear"/>
              </w:rPr>
              <w:t xml:space="preserve">ДЗЕРЖИНСКОГО РАЙОНА ВОЛГОГРАДА</w:t>
            </w:r>
          </w:p>
        </w:tc>
      </w:tr>
      <w:tr>
        <w:trPr>
          <w:trHeight w:val="1" w:hRule="atLeast"/>
          <w:jc w:val="left"/>
        </w:trPr>
        <w:tc>
          <w:tcPr>
            <w:tcW w:w="10331" w:type="dxa"/>
            <w:gridSpan w:val="4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32"/>
                <w:shd w:fill="auto" w:val="clear"/>
              </w:rPr>
              <w:t xml:space="preserve">РАСПОРЯЖЕНИЕ</w:t>
            </w:r>
          </w:p>
        </w:tc>
      </w:tr>
      <w:tr>
        <w:trPr>
          <w:trHeight w:val="1" w:hRule="atLeast"/>
          <w:jc w:val="left"/>
        </w:trPr>
        <w:tc>
          <w:tcPr>
            <w:tcW w:w="50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29.05.2018</w:t>
            </w:r>
          </w:p>
        </w:tc>
        <w:tc>
          <w:tcPr>
            <w:tcW w:w="4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6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</w:p>
        </w:tc>
        <w:tc>
          <w:tcPr>
            <w:tcW w:w="2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166-18-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</w:tc>
        <w:tc>
          <w:tcPr>
            <w:tcW w:w="52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демонтаже самовольно установленных  нестационарных объектов</w:t>
            </w:r>
          </w:p>
        </w:tc>
        <w:tc>
          <w:tcPr>
            <w:tcW w:w="52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851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Руководствуясь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Порядком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демонтажа самовольно установленных нестационарных объектов на территории Волгограда,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Положением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 апреля 2013 г. N 764 "Об утверждении Порядка демонтажа самовольно установленных  нестационарных объектов на территории Волгограда, Положения о комиссиях по решению вопросов о демонтаже самовольно установленных нестационарных объектов на территории Волгограда", Положением о комиссии по решению вопросов о демонтаже самовольно установленных нестационарных объектов на территории Дзержинского района Волгограда, утвержденным распоряжением администрации Дзержинского района Волгограда от 01.03.2018 № 61-18-р (далее - комиссия), на основании протокола заседания комиссии по решению вопросов о демонтаже самовольно установленных нестационарных объектов на территории Дзержинского района Волгограда от 29.05.2018 № 9: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Предложить собственникам самовольно установленных нестационарных объектов, расположенных на земельных участках: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tblInd w:w="113" w:type="dxa"/>
            </w:tblPr>
            <w:tblGrid>
              <w:gridCol w:w="449"/>
              <w:gridCol w:w="2733"/>
              <w:gridCol w:w="6810"/>
            </w:tblGrid>
            <w:tr>
              <w:trPr>
                <w:trHeight w:val="6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Флагшток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ул.51-я Гвардейская, на пересечении с ул. Краснополянская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6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Павильоны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Киоски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ул.Симонова, у дома №31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Волгоградский мясокомбинат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Енотаевская, у дома №28 (киоск);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Енотаевская, у дома №28 (вагончик);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51-я Гвардейская, на остановке трамвая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«7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лицей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 (4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объекта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Камышинские колбасы Соловьева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», «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Союзпечать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»,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Московский комсомолец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»);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Новодвинская, на территории между госпиталем и СПТУ№11 (14 объектов)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2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Ограждение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Енотаевская, у дома №35а;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6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Гаражи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б-р 30-лет Победы, напротив домов№№31,35.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осуществить добровольный демонтаж объектов в срок не позднее пяти рабочих дней со дня заседания комиссии.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случае неисполнения пункта 1 настоящего распоряжения собственников объектов демонтировать самовольно установленные нестационарные объекты, расположенных на земельных участках:</w:t>
            </w:r>
          </w:p>
          <w:tbl>
            <w:tblPr>
              <w:tblInd w:w="113" w:type="dxa"/>
            </w:tblPr>
            <w:tblGrid>
              <w:gridCol w:w="449"/>
              <w:gridCol w:w="2733"/>
              <w:gridCol w:w="6810"/>
            </w:tblGrid>
            <w:tr>
              <w:trPr>
                <w:trHeight w:val="6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Флагшток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ул.51-я Гвардейская, на пересечении с ул. Краснополянская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6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Павильоны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Киоски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ул.Симонова, у дома №31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Волгоградский мясокомбинат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Енотаевская, у дома №28 (киоск);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Енотаевская, у дома №28 (вагончик);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51-я Гвардейская, на остановке трамвая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«7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лицей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 (4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объекта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Камышинские колбасы Соловьева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», «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Союзпечать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»,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Московский комсомолец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»);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Новодвинская, на территории между госпиталем и СПТУ№11 (14 объектов)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2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Ограждение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Енотаевская, у дома №35а;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6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Гаражи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б-р 30-лет Победы, напротив домов№№31,35.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20 рабочих дней со дня истечения срока, установленного пунктом 1 настоящего распоряжения.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Утвердить прилагаемый состав исполнительной комиссии по демонтажу самовольно установленных нестационарных объектов, расположенных на земельных участках (приложение №1).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Муниципальному бюджетному учреждению МБУ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ЖКХ Дзержинского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организовать выполнение работ по демонтажу, перевозке и хранению самовольно установленного нестационарного объекта, указанного в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пункте 2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настоящего распоряжения.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Общему отделу администрации Дзержинского района Волгограда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"Территориальные подразделения".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Направить копию настоящего распоряжения в управление по взаимодействию  со  средствами массовой информации администрации Волгограда для опубликования.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Разместить информацию о настоящем распоряжении на самовольно установленных нестационарных объектах, расположенных на земельных участках:</w:t>
            </w:r>
          </w:p>
          <w:tbl>
            <w:tblPr>
              <w:tblInd w:w="113" w:type="dxa"/>
            </w:tblPr>
            <w:tblGrid>
              <w:gridCol w:w="449"/>
              <w:gridCol w:w="2733"/>
              <w:gridCol w:w="6810"/>
            </w:tblGrid>
            <w:tr>
              <w:trPr>
                <w:trHeight w:val="6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Флагшток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ул.51-я Гвардейская, на пересечении с ул. Краснополянская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6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Павильоны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Киоски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ул.Симонова, у дома №31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Волгоградский мясокомбинат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Енотаевская, у дома №28 (киоск);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Енотаевская, у дома №28 (вагончик);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51-я Гвардейская, на остановке трамвая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«7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лицей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 (4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объекта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Камышинские колбасы Соловьева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»,«, «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Союзпечать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»,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Московский комсомолец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»);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Новодвинская, на территории между госпиталем и СПТУ№11 (14 объектов)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2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Ограждение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Енотаевская, у дома №35а;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613" w:hRule="auto"/>
                <w:jc w:val="left"/>
              </w:trPr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2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Гаражи</w:t>
                  </w:r>
                </w:p>
              </w:tc>
              <w:tc>
                <w:tcPr>
                  <w:tcW w:w="68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ул. б-р 30-лет Победы, напротив домов№№31,35.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над исполнением настоящего распоряжения оставляю за собой.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администрации</w:t>
            </w:r>
          </w:p>
        </w:tc>
        <w:tc>
          <w:tcPr>
            <w:tcW w:w="52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С.Р. Таций</w:t>
            </w:r>
          </w:p>
        </w:tc>
      </w:tr>
    </w:tbl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docRId4" Type="http://schemas.openxmlformats.org/officeDocument/2006/relationships/hyperlink" Target="consultantplus://offline/ref=D2CFE1229D5C1BF32BE58511FE76C534BE5C6B12DD905620AD8BB87B77435D6A959D1CF7A9A2C0BDC1BDC065zAx3K" TargetMode="External"/><Relationship Id="docRId3" Type="http://schemas.openxmlformats.org/officeDocument/2006/relationships/hyperlink" Target="consultantplus://offline/ref=DD7C0EA7E71BF5D829FBD632B06399915EDE9BBAAC3CE805597B99357D530844E5C6F506390902C3A1A45601c757H" TargetMode="External"/><Relationship Id="rId3" Type="http://schemas.openxmlformats.org/officeDocument/2006/relationships/customXml" Target="../customXml/item3.xml"/><Relationship Id="docRId2" Type="http://schemas.openxmlformats.org/officeDocument/2006/relationships/hyperlink" Target="consultantplus://offline/ref=DD7C0EA7E71BF5D829FBD632B06399915EDE9BBAAC3CE805597B99357D530844E5C6F506390902C3A1A45607c753H" TargetMode="External"/><Relationship Id="rId2" Type="http://schemas.openxmlformats.org/officeDocument/2006/relationships/customXml" Target="../customXml/item2.xml"/><Relationship Id="docRId6" Type="http://schemas.openxmlformats.org/officeDocument/2006/relationships/styles" Target="styles.xml"/><Relationship Id="rId1" Type="http://schemas.openxmlformats.org/officeDocument/2006/relationships/customXml" Target="../customXml/item1.xml"/><Relationship Id="docRId1" Type="http://schemas.openxmlformats.org/officeDocument/2006/relationships/image" Target="media/image0.wmf"/><Relationship Id="docRId5" Type="http://schemas.openxmlformats.org/officeDocument/2006/relationships/numbering" Target="numbering.xml"/><Relationship Id="docRId0" Type="http://schemas.openxmlformats.org/officeDocument/2006/relationships/oleObject" Target="embeddings/oleObject0.bin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06F8A-7E06-4DA1-9795-B5017E361AB0}"/>
</file>

<file path=customXml/itemProps2.xml><?xml version="1.0" encoding="utf-8"?>
<ds:datastoreItem xmlns:ds="http://schemas.openxmlformats.org/officeDocument/2006/customXml" ds:itemID="{8A1BF020-A8FD-4E31-AF9C-789DDAAB3CBF}"/>
</file>

<file path=customXml/itemProps3.xml><?xml version="1.0" encoding="utf-8"?>
<ds:datastoreItem xmlns:ds="http://schemas.openxmlformats.org/officeDocument/2006/customXml" ds:itemID="{4D9C33DC-582E-4974-94EB-482FB4F09058}"/>
</file>