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072"/>
      </w:tblGrid>
      <w:tr w:rsidR="00540690" w:rsidRPr="00CE2E00" w:rsidTr="00425DAD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4B5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40690" w:rsidRPr="00CE2E00" w:rsidRDefault="00540690" w:rsidP="00425D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(регион-инвест)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7D0E196" wp14:editId="036B1AA0">
                      <wp:simplePos x="0" y="0"/>
                      <wp:positionH relativeFrom="column">
                        <wp:posOffset>7760335</wp:posOffset>
                      </wp:positionH>
                      <wp:positionV relativeFrom="paragraph">
                        <wp:posOffset>1022985</wp:posOffset>
                      </wp:positionV>
                      <wp:extent cx="1482725" cy="237490"/>
                      <wp:effectExtent l="10795" t="12065" r="11430" b="1714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9737C"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    </w:pict>
                </mc:Fallback>
              </mc:AlternateConten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юридические лица, являющиеся субъектами малого предпринимательства (включая микропредприятия):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4B57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5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Облкомэконом-развития</w:t>
            </w: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здания (кроме жилых)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683D52C" wp14:editId="5A95BC92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52070</wp:posOffset>
                      </wp:positionV>
                      <wp:extent cx="1573530" cy="309245"/>
                      <wp:effectExtent l="12065" t="13335" r="14605" b="10795"/>
                      <wp:wrapNone/>
                      <wp:docPr id="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7AC5F" id="Прямоугольник 3" o:spid="_x0000_s1026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D7017BD" wp14:editId="104B7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44450</wp:posOffset>
                      </wp:positionV>
                      <wp:extent cx="1573530" cy="318770"/>
                      <wp:effectExtent l="12065" t="10160" r="14605" b="13970"/>
                      <wp:wrapNone/>
                      <wp:docPr id="6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187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199F4" id="Прямоугольник 2" o:spid="_x0000_s1026" style="position:absolute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AA021EF" wp14:editId="2C42A39E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33655</wp:posOffset>
                      </wp:positionV>
                      <wp:extent cx="1573530" cy="345440"/>
                      <wp:effectExtent l="12065" t="6350" r="14605" b="10160"/>
                      <wp:wrapNone/>
                      <wp:docPr id="5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353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02AAA" id="Прямоугольник 1" o:spid="_x0000_s1026" style="position:absolute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    </w:pict>
                </mc:Fallback>
              </mc:AlternateContent>
            </w:r>
            <w:r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Указания по заполнению 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r w:rsidR="004E24E7" w:rsidRPr="00540690">
        <w:rPr>
          <w:rFonts w:ascii="Times New Roman" w:hAnsi="Times New Roman" w:cs="Times New Roman"/>
          <w:b/>
          <w:bCs/>
          <w:sz w:val="24"/>
          <w:szCs w:val="24"/>
        </w:rPr>
        <w:t>регионального</w:t>
      </w:r>
      <w:r w:rsidRPr="00540690">
        <w:rPr>
          <w:rFonts w:ascii="Times New Roman" w:hAnsi="Times New Roman" w:cs="Times New Roman"/>
          <w:b/>
          <w:bCs/>
          <w:sz w:val="24"/>
          <w:szCs w:val="24"/>
        </w:rPr>
        <w:t xml:space="preserve"> статистического</w:t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t xml:space="preserve">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</w:t>
      </w:r>
      <w:r w:rsidRPr="00CE2E00">
        <w:rPr>
          <w:rFonts w:ascii="Times New Roman" w:hAnsi="Times New Roman" w:cs="Times New Roman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 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b/>
          <w:szCs w:val="24"/>
        </w:rPr>
        <w:t xml:space="preserve"> </w:t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>переданные с</w:t>
      </w:r>
      <w:r w:rsidRPr="00CE2E00">
        <w:rPr>
          <w:rFonts w:ascii="Times New Roman" w:hAnsi="Times New Roman" w:cs="Times New Roman"/>
          <w:b/>
          <w:szCs w:val="24"/>
        </w:rPr>
        <w:t xml:space="preserve"> </w:t>
      </w:r>
      <w:r w:rsidRPr="00CE2E00">
        <w:rPr>
          <w:rFonts w:ascii="Times New Roman" w:hAnsi="Times New Roman" w:cs="Times New Roman"/>
          <w:sz w:val="24"/>
          <w:szCs w:val="24"/>
        </w:rPr>
        <w:t xml:space="preserve">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  <w:r w:rsidRPr="00CE2E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для ИКТ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(ОКВЭД2),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ОКВЭД2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Стр.13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138BBD6B" wp14:editId="72EE5D4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Стр.14 </w:t>
      </w:r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 wp14:anchorId="3D7C66F9" wp14:editId="688728B5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Стр.15.</w:t>
      </w:r>
    </w:p>
    <w:sectPr w:rsidR="00FB46AA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58" w:rsidRDefault="00502858">
      <w:r>
        <w:separator/>
      </w:r>
    </w:p>
  </w:endnote>
  <w:endnote w:type="continuationSeparator" w:id="0">
    <w:p w:rsidR="00502858" w:rsidRDefault="005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361" w:rsidRPr="00392515" w:rsidRDefault="00F15ABB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58" w:rsidRDefault="00502858">
      <w:r>
        <w:separator/>
      </w:r>
    </w:p>
  </w:footnote>
  <w:footnote w:type="continuationSeparator" w:id="0">
    <w:p w:rsidR="00502858" w:rsidRDefault="0050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B6282A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AB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F15ABB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AA"/>
    <w:rsid w:val="000A06BC"/>
    <w:rsid w:val="001122DC"/>
    <w:rsid w:val="004B57AC"/>
    <w:rsid w:val="004E24E7"/>
    <w:rsid w:val="00502858"/>
    <w:rsid w:val="00540690"/>
    <w:rsid w:val="00896641"/>
    <w:rsid w:val="00912495"/>
    <w:rsid w:val="00A92471"/>
    <w:rsid w:val="00B6282A"/>
    <w:rsid w:val="00F15ABB"/>
    <w:rsid w:val="00F41A23"/>
    <w:rsid w:val="00F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14AE-B888-46B6-950D-0729FB8D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293E2-252A-49EC-8CFF-81281835A20A}"/>
</file>

<file path=customXml/itemProps2.xml><?xml version="1.0" encoding="utf-8"?>
<ds:datastoreItem xmlns:ds="http://schemas.openxmlformats.org/officeDocument/2006/customXml" ds:itemID="{DE828089-3BE7-4DB7-A73E-EDD11C6A6819}"/>
</file>

<file path=customXml/itemProps3.xml><?xml version="1.0" encoding="utf-8"?>
<ds:datastoreItem xmlns:ds="http://schemas.openxmlformats.org/officeDocument/2006/customXml" ds:itemID="{574DFEDA-D290-4BC7-90E0-E4AA1B592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7660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Качегина Виктория Вячеславовна</cp:lastModifiedBy>
  <cp:revision>2</cp:revision>
  <dcterms:created xsi:type="dcterms:W3CDTF">2024-01-30T07:48:00Z</dcterms:created>
  <dcterms:modified xsi:type="dcterms:W3CDTF">2024-01-30T07:48:00Z</dcterms:modified>
</cp:coreProperties>
</file>