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 xml:space="preserve">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9486F-DB61-4181-9365-02D90010C4C5}"/>
</file>

<file path=customXml/itemProps2.xml><?xml version="1.0" encoding="utf-8"?>
<ds:datastoreItem xmlns:ds="http://schemas.openxmlformats.org/officeDocument/2006/customXml" ds:itemID="{14B93E64-29BB-4712-8FC0-6B5C90D211F1}"/>
</file>

<file path=customXml/itemProps3.xml><?xml version="1.0" encoding="utf-8"?>
<ds:datastoreItem xmlns:ds="http://schemas.openxmlformats.org/officeDocument/2006/customXml" ds:itemID="{AD248739-22F8-43DD-853E-943E5B4AC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2019-09-04T05:54:00Z</dcterms:modified>
</cp:coreProperties>
</file>