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A4071A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5730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3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0637DD">
      <w:pPr>
        <w:ind w:left="567"/>
        <w:rPr>
          <w:sz w:val="28"/>
        </w:rPr>
      </w:pPr>
      <w:r>
        <w:rPr>
          <w:sz w:val="28"/>
        </w:rPr>
        <w:t>от 17.01.2018</w:t>
      </w:r>
      <w:r w:rsidR="00B47415">
        <w:rPr>
          <w:sz w:val="28"/>
        </w:rPr>
        <w:t xml:space="preserve"> №</w:t>
      </w:r>
      <w:r>
        <w:rPr>
          <w:sz w:val="28"/>
        </w:rPr>
        <w:t xml:space="preserve"> 49</w:t>
      </w:r>
    </w:p>
    <w:p w:rsidR="00C6287C" w:rsidRDefault="00C6287C">
      <w:pPr>
        <w:ind w:left="567"/>
        <w:rPr>
          <w:sz w:val="28"/>
        </w:rPr>
      </w:pPr>
    </w:p>
    <w:p w:rsidR="00E80CC9" w:rsidRPr="002376B6" w:rsidRDefault="00E80CC9" w:rsidP="002376B6">
      <w:pPr>
        <w:ind w:left="567" w:right="5527"/>
        <w:jc w:val="both"/>
        <w:rPr>
          <w:sz w:val="28"/>
          <w:szCs w:val="28"/>
        </w:rPr>
      </w:pPr>
      <w:r w:rsidRPr="002376B6">
        <w:rPr>
          <w:sz w:val="28"/>
          <w:szCs w:val="28"/>
        </w:rPr>
        <w:t>О заключении концессионного соглашения в отношении объектов наружного освещения, находящихся в муниципальной собственности Волгограда</w:t>
      </w:r>
      <w:r w:rsidRPr="002376B6">
        <w:rPr>
          <w:rFonts w:eastAsia="Calibri"/>
          <w:color w:val="000000"/>
          <w:sz w:val="28"/>
          <w:szCs w:val="28"/>
        </w:rPr>
        <w:t xml:space="preserve">, с </w:t>
      </w:r>
      <w:r w:rsidR="002376B6">
        <w:rPr>
          <w:rFonts w:eastAsia="Calibri"/>
          <w:color w:val="000000"/>
          <w:sz w:val="28"/>
          <w:szCs w:val="28"/>
        </w:rPr>
        <w:t>обществом с ограниченной ответственностью</w:t>
      </w:r>
      <w:r w:rsidRPr="002376B6">
        <w:rPr>
          <w:rFonts w:eastAsia="Calibri"/>
          <w:color w:val="000000"/>
          <w:sz w:val="28"/>
          <w:szCs w:val="28"/>
        </w:rPr>
        <w:t xml:space="preserve"> «Светосервис</w:t>
      </w:r>
      <w:r w:rsidR="002376B6">
        <w:rPr>
          <w:rFonts w:eastAsia="Calibri"/>
          <w:color w:val="000000"/>
          <w:sz w:val="28"/>
          <w:szCs w:val="28"/>
        </w:rPr>
        <w:t>-</w:t>
      </w:r>
      <w:r w:rsidRPr="002376B6">
        <w:rPr>
          <w:rFonts w:eastAsia="Calibri"/>
          <w:color w:val="000000"/>
          <w:sz w:val="28"/>
          <w:szCs w:val="28"/>
        </w:rPr>
        <w:t>Волгоград»</w:t>
      </w:r>
    </w:p>
    <w:p w:rsidR="00E80CC9" w:rsidRPr="002376B6" w:rsidRDefault="00E80CC9" w:rsidP="002376B6">
      <w:pPr>
        <w:ind w:left="567" w:right="552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  <w:r w:rsidRPr="002376B6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376B6">
        <w:rPr>
          <w:sz w:val="28"/>
          <w:szCs w:val="28"/>
        </w:rPr>
        <w:t>ф</w:t>
      </w:r>
      <w:r w:rsidRPr="002376B6">
        <w:rPr>
          <w:sz w:val="28"/>
          <w:szCs w:val="28"/>
        </w:rPr>
        <w:t>едеральными законами от 21 июля 2005 г. № 115-ФЗ «О концессионных соглашениях», от 06 октября 2003 г. № 131-ФЗ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</w:t>
      </w:r>
      <w:r w:rsidR="002376B6">
        <w:rPr>
          <w:sz w:val="28"/>
          <w:szCs w:val="28"/>
        </w:rPr>
        <w:t xml:space="preserve"> июля </w:t>
      </w:r>
      <w:r w:rsidRPr="002376B6">
        <w:rPr>
          <w:sz w:val="28"/>
          <w:szCs w:val="28"/>
        </w:rPr>
        <w:t>2017</w:t>
      </w:r>
      <w:r w:rsidR="002376B6">
        <w:rPr>
          <w:sz w:val="28"/>
          <w:szCs w:val="28"/>
        </w:rPr>
        <w:t> г.</w:t>
      </w:r>
      <w:r w:rsidRPr="002376B6">
        <w:rPr>
          <w:sz w:val="28"/>
          <w:szCs w:val="28"/>
        </w:rPr>
        <w:t xml:space="preserve"> № 59/1720 «Об утверждении Порядка управления и распоряжения имуществом, находящимся в муниципальной собственности Волгограда», решением Волгоградской городской Думы от 30</w:t>
      </w:r>
      <w:r w:rsidR="002376B6">
        <w:rPr>
          <w:sz w:val="28"/>
          <w:szCs w:val="28"/>
        </w:rPr>
        <w:t xml:space="preserve"> октября </w:t>
      </w:r>
      <w:r w:rsidRPr="002376B6">
        <w:rPr>
          <w:sz w:val="28"/>
          <w:szCs w:val="28"/>
        </w:rPr>
        <w:t xml:space="preserve">2017 </w:t>
      </w:r>
      <w:r w:rsidR="002376B6">
        <w:rPr>
          <w:sz w:val="28"/>
          <w:szCs w:val="28"/>
        </w:rPr>
        <w:t>г.</w:t>
      </w:r>
      <w:r w:rsidRPr="002376B6">
        <w:rPr>
          <w:sz w:val="28"/>
          <w:szCs w:val="28"/>
        </w:rPr>
        <w:t xml:space="preserve"> № 61/1798 «О рассмотрении предложения администрации Волгограда о передаче по концессионному соглашению объектов наружного освещения, находящихся в муниципальной собственности Волгограда», постановлением администрации Волгограда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13</w:t>
      </w:r>
      <w:r w:rsidR="002376B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ноября </w:t>
      </w:r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2017</w:t>
      </w:r>
      <w:r w:rsidR="002376B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г.</w:t>
      </w:r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№ 1738 «О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согласовании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проекта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концессионного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внесенными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изменениями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принятии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заявок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готовности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участию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конкурсе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концессионного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76B6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2376B6">
        <w:rPr>
          <w:sz w:val="28"/>
          <w:szCs w:val="28"/>
        </w:rPr>
        <w:t xml:space="preserve">, на основании обращения </w:t>
      </w:r>
      <w:r w:rsidR="000637DD">
        <w:rPr>
          <w:sz w:val="28"/>
          <w:szCs w:val="28"/>
        </w:rPr>
        <w:br/>
        <w:t>общества с ограниченной ответственностью (ООО)</w:t>
      </w:r>
      <w:r w:rsidRPr="002376B6">
        <w:rPr>
          <w:sz w:val="28"/>
          <w:szCs w:val="28"/>
        </w:rPr>
        <w:t xml:space="preserve"> «</w:t>
      </w:r>
      <w:proofErr w:type="spellStart"/>
      <w:r w:rsidRPr="002376B6">
        <w:rPr>
          <w:sz w:val="28"/>
          <w:szCs w:val="28"/>
        </w:rPr>
        <w:t>Светосервис</w:t>
      </w:r>
      <w:proofErr w:type="spellEnd"/>
      <w:r w:rsidR="002376B6">
        <w:rPr>
          <w:sz w:val="28"/>
          <w:szCs w:val="28"/>
        </w:rPr>
        <w:t>-</w:t>
      </w:r>
      <w:r w:rsidRPr="002376B6">
        <w:rPr>
          <w:sz w:val="28"/>
          <w:szCs w:val="28"/>
        </w:rPr>
        <w:t xml:space="preserve">Волгоград» </w:t>
      </w:r>
      <w:r w:rsidR="000637DD">
        <w:rPr>
          <w:sz w:val="28"/>
          <w:szCs w:val="28"/>
        </w:rPr>
        <w:br/>
      </w:r>
      <w:r w:rsidRPr="002376B6">
        <w:rPr>
          <w:sz w:val="28"/>
          <w:szCs w:val="28"/>
        </w:rPr>
        <w:t>от 13</w:t>
      </w:r>
      <w:r w:rsidR="002376B6">
        <w:rPr>
          <w:sz w:val="28"/>
          <w:szCs w:val="28"/>
        </w:rPr>
        <w:t xml:space="preserve"> ноября </w:t>
      </w:r>
      <w:r w:rsidRPr="002376B6">
        <w:rPr>
          <w:sz w:val="28"/>
          <w:szCs w:val="28"/>
        </w:rPr>
        <w:t>2017</w:t>
      </w:r>
      <w:r w:rsidR="002376B6">
        <w:rPr>
          <w:sz w:val="28"/>
          <w:szCs w:val="28"/>
        </w:rPr>
        <w:t xml:space="preserve"> г.</w:t>
      </w:r>
      <w:r w:rsidRPr="002376B6">
        <w:rPr>
          <w:sz w:val="28"/>
          <w:szCs w:val="28"/>
        </w:rPr>
        <w:t xml:space="preserve"> №</w:t>
      </w:r>
      <w:r w:rsidR="002376B6">
        <w:rPr>
          <w:sz w:val="28"/>
          <w:szCs w:val="28"/>
        </w:rPr>
        <w:t xml:space="preserve"> </w:t>
      </w:r>
      <w:r w:rsidRPr="002376B6">
        <w:rPr>
          <w:sz w:val="28"/>
          <w:szCs w:val="28"/>
        </w:rPr>
        <w:t xml:space="preserve">33 </w:t>
      </w:r>
      <w:r w:rsidR="002376B6">
        <w:rPr>
          <w:sz w:val="28"/>
          <w:szCs w:val="28"/>
        </w:rPr>
        <w:t>о</w:t>
      </w:r>
      <w:r w:rsidRPr="002376B6">
        <w:rPr>
          <w:sz w:val="28"/>
          <w:szCs w:val="28"/>
        </w:rPr>
        <w:t xml:space="preserve"> заключени</w:t>
      </w:r>
      <w:r w:rsidR="002376B6">
        <w:rPr>
          <w:sz w:val="28"/>
          <w:szCs w:val="28"/>
        </w:rPr>
        <w:t>и</w:t>
      </w:r>
      <w:r w:rsidRPr="002376B6">
        <w:rPr>
          <w:sz w:val="28"/>
          <w:szCs w:val="28"/>
        </w:rPr>
        <w:t xml:space="preserve"> концессионного соглашения с лицом, выступающим с инициативой заключения концессионного соглашения, протокола комиссии, уполномоченной на рассмотрение заявок о готовности к участию в конкурсе на право заключения концессионного соглашения, от иных лиц, выступающих с инициативой заключения концессионного соглашения</w:t>
      </w:r>
      <w:r w:rsidR="002376B6">
        <w:rPr>
          <w:sz w:val="28"/>
          <w:szCs w:val="28"/>
        </w:rPr>
        <w:t>,</w:t>
      </w:r>
      <w:r w:rsidRPr="002376B6">
        <w:rPr>
          <w:sz w:val="28"/>
          <w:szCs w:val="28"/>
        </w:rPr>
        <w:t xml:space="preserve"> от 09</w:t>
      </w:r>
      <w:r w:rsidR="002376B6">
        <w:rPr>
          <w:sz w:val="28"/>
          <w:szCs w:val="28"/>
        </w:rPr>
        <w:t xml:space="preserve"> января </w:t>
      </w:r>
      <w:r w:rsidRPr="002376B6">
        <w:rPr>
          <w:sz w:val="28"/>
          <w:szCs w:val="28"/>
        </w:rPr>
        <w:t>2018</w:t>
      </w:r>
      <w:r w:rsidR="002376B6">
        <w:rPr>
          <w:sz w:val="28"/>
          <w:szCs w:val="28"/>
        </w:rPr>
        <w:t xml:space="preserve"> г.</w:t>
      </w:r>
      <w:r w:rsidRPr="002376B6">
        <w:rPr>
          <w:sz w:val="28"/>
          <w:szCs w:val="28"/>
        </w:rPr>
        <w:t xml:space="preserve">, </w:t>
      </w:r>
      <w:r w:rsidR="002376B6" w:rsidRPr="002376B6">
        <w:rPr>
          <w:spacing w:val="-10"/>
          <w:sz w:val="28"/>
          <w:szCs w:val="28"/>
        </w:rPr>
        <w:t>руководствуясь статьями 5, 7, 39, 47</w:t>
      </w:r>
      <w:r w:rsidR="002376B6" w:rsidRPr="002376B6">
        <w:rPr>
          <w:sz w:val="28"/>
          <w:szCs w:val="28"/>
        </w:rPr>
        <w:t xml:space="preserve"> Устава города-героя Волгограда</w:t>
      </w:r>
      <w:r w:rsidR="002376B6">
        <w:rPr>
          <w:sz w:val="28"/>
          <w:szCs w:val="28"/>
        </w:rPr>
        <w:t>,</w:t>
      </w:r>
      <w:r w:rsidR="002376B6" w:rsidRPr="002376B6">
        <w:rPr>
          <w:sz w:val="28"/>
          <w:szCs w:val="28"/>
        </w:rPr>
        <w:t xml:space="preserve"> </w:t>
      </w:r>
      <w:r w:rsidRPr="002376B6">
        <w:rPr>
          <w:sz w:val="28"/>
          <w:szCs w:val="28"/>
        </w:rPr>
        <w:t>администрация Волгограда</w:t>
      </w:r>
    </w:p>
    <w:p w:rsidR="00E80CC9" w:rsidRPr="002376B6" w:rsidRDefault="00E80CC9" w:rsidP="002376B6">
      <w:pPr>
        <w:ind w:left="567"/>
        <w:jc w:val="both"/>
        <w:rPr>
          <w:b/>
          <w:sz w:val="28"/>
          <w:szCs w:val="28"/>
        </w:rPr>
      </w:pPr>
      <w:r w:rsidRPr="002376B6">
        <w:rPr>
          <w:b/>
          <w:sz w:val="28"/>
          <w:szCs w:val="28"/>
        </w:rPr>
        <w:t>ПОСТАНОВЛЯЕТ:</w:t>
      </w:r>
    </w:p>
    <w:p w:rsidR="00E80CC9" w:rsidRPr="002376B6" w:rsidRDefault="002376B6" w:rsidP="002376B6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E80CC9" w:rsidRPr="002376B6">
        <w:rPr>
          <w:rFonts w:eastAsia="Calibri"/>
          <w:sz w:val="28"/>
          <w:szCs w:val="28"/>
          <w:lang w:eastAsia="en-US"/>
        </w:rPr>
        <w:t>Заключить концессионное соглашение</w:t>
      </w:r>
      <w:r w:rsidR="00E80CC9" w:rsidRPr="002376B6">
        <w:rPr>
          <w:rFonts w:eastAsia="Calibri"/>
          <w:color w:val="000000"/>
          <w:sz w:val="28"/>
          <w:szCs w:val="28"/>
        </w:rPr>
        <w:t xml:space="preserve"> </w:t>
      </w:r>
      <w:r w:rsidR="00E80CC9" w:rsidRPr="002376B6">
        <w:rPr>
          <w:sz w:val="28"/>
          <w:szCs w:val="28"/>
        </w:rPr>
        <w:t>в отношении объектов наружного освещения, находящихся в муниципальной собственности Волгограда,</w:t>
      </w:r>
      <w:r w:rsidR="00E80CC9" w:rsidRPr="002376B6">
        <w:rPr>
          <w:rFonts w:eastAsia="Calibri"/>
          <w:color w:val="000000"/>
          <w:sz w:val="28"/>
          <w:szCs w:val="28"/>
        </w:rPr>
        <w:t xml:space="preserve"> с ООО «Светосервис</w:t>
      </w:r>
      <w:r>
        <w:rPr>
          <w:rFonts w:eastAsia="Calibri"/>
          <w:color w:val="000000"/>
          <w:sz w:val="28"/>
          <w:szCs w:val="28"/>
        </w:rPr>
        <w:t>-</w:t>
      </w:r>
      <w:r w:rsidR="00E80CC9" w:rsidRPr="002376B6">
        <w:rPr>
          <w:rFonts w:eastAsia="Calibri"/>
          <w:color w:val="000000"/>
          <w:sz w:val="28"/>
          <w:szCs w:val="28"/>
        </w:rPr>
        <w:t xml:space="preserve">Волгоград» </w:t>
      </w:r>
      <w:r w:rsidR="00E80CC9" w:rsidRPr="002376B6">
        <w:rPr>
          <w:rFonts w:eastAsia="Calibri"/>
          <w:sz w:val="28"/>
          <w:szCs w:val="28"/>
          <w:lang w:eastAsia="en-US"/>
        </w:rPr>
        <w:t xml:space="preserve">на условиях, предусмотренных в предложении о заключении концессионного соглашения и проекте концессионного соглашения </w:t>
      </w:r>
      <w:r w:rsidR="000637DD" w:rsidRPr="002376B6">
        <w:rPr>
          <w:sz w:val="28"/>
          <w:szCs w:val="28"/>
        </w:rPr>
        <w:t>в отношении объектов наружного освещения</w:t>
      </w:r>
      <w:r w:rsidR="000637DD" w:rsidRPr="001501CE">
        <w:rPr>
          <w:sz w:val="28"/>
          <w:szCs w:val="28"/>
        </w:rPr>
        <w:t>,</w:t>
      </w:r>
      <w:r w:rsidR="000637DD" w:rsidRPr="002376B6">
        <w:rPr>
          <w:b/>
          <w:sz w:val="28"/>
          <w:szCs w:val="28"/>
        </w:rPr>
        <w:t xml:space="preserve"> </w:t>
      </w:r>
      <w:r w:rsidR="000637DD" w:rsidRPr="002376B6">
        <w:rPr>
          <w:sz w:val="28"/>
          <w:szCs w:val="28"/>
        </w:rPr>
        <w:t>находящихся в муниципальной собственности Волгограда</w:t>
      </w:r>
      <w:r w:rsidR="000637DD">
        <w:rPr>
          <w:sz w:val="28"/>
          <w:szCs w:val="28"/>
        </w:rPr>
        <w:t xml:space="preserve">, </w:t>
      </w:r>
      <w:r w:rsidR="00E80CC9" w:rsidRPr="002376B6">
        <w:rPr>
          <w:rFonts w:eastAsia="Calibri"/>
          <w:sz w:val="28"/>
          <w:szCs w:val="28"/>
          <w:lang w:eastAsia="en-US"/>
        </w:rPr>
        <w:t>с внесенными изменениями.</w:t>
      </w:r>
    </w:p>
    <w:p w:rsidR="00E80CC9" w:rsidRPr="002376B6" w:rsidRDefault="002376B6" w:rsidP="002376B6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2. </w:t>
      </w:r>
      <w:r w:rsidR="00E80CC9" w:rsidRPr="002376B6">
        <w:rPr>
          <w:rFonts w:eastAsia="Calibri"/>
          <w:color w:val="000000"/>
          <w:sz w:val="28"/>
          <w:szCs w:val="28"/>
        </w:rPr>
        <w:t>Департаменту муниципального имущества администрации</w:t>
      </w:r>
      <w:r w:rsidR="00E80CC9" w:rsidRPr="002376B6">
        <w:rPr>
          <w:sz w:val="28"/>
          <w:szCs w:val="28"/>
        </w:rPr>
        <w:t xml:space="preserve"> Волгограда направить в </w:t>
      </w:r>
      <w:r w:rsidR="00E80CC9" w:rsidRPr="002376B6">
        <w:rPr>
          <w:rFonts w:eastAsia="Calibri"/>
          <w:color w:val="000000"/>
          <w:sz w:val="28"/>
          <w:szCs w:val="28"/>
        </w:rPr>
        <w:t>ООО «Светосервис</w:t>
      </w:r>
      <w:r w:rsidR="001501CE">
        <w:rPr>
          <w:rFonts w:eastAsia="Calibri"/>
          <w:color w:val="000000"/>
          <w:sz w:val="28"/>
          <w:szCs w:val="28"/>
        </w:rPr>
        <w:t>-</w:t>
      </w:r>
      <w:r w:rsidR="00E80CC9" w:rsidRPr="002376B6">
        <w:rPr>
          <w:rFonts w:eastAsia="Calibri"/>
          <w:color w:val="000000"/>
          <w:sz w:val="28"/>
          <w:szCs w:val="28"/>
        </w:rPr>
        <w:t xml:space="preserve">Волгоград» </w:t>
      </w:r>
      <w:r w:rsidR="00E80CC9" w:rsidRPr="002376B6">
        <w:rPr>
          <w:sz w:val="28"/>
          <w:szCs w:val="28"/>
        </w:rPr>
        <w:t>проект концессионного соглашения в отношении объектов наружного освещения</w:t>
      </w:r>
      <w:r w:rsidR="00E80CC9" w:rsidRPr="001501CE">
        <w:rPr>
          <w:sz w:val="28"/>
          <w:szCs w:val="28"/>
        </w:rPr>
        <w:t>,</w:t>
      </w:r>
      <w:r w:rsidR="00E80CC9" w:rsidRPr="002376B6">
        <w:rPr>
          <w:b/>
          <w:sz w:val="28"/>
          <w:szCs w:val="28"/>
        </w:rPr>
        <w:t xml:space="preserve"> </w:t>
      </w:r>
      <w:r w:rsidR="00E80CC9" w:rsidRPr="002376B6">
        <w:rPr>
          <w:sz w:val="28"/>
          <w:szCs w:val="28"/>
        </w:rPr>
        <w:t xml:space="preserve">находящихся в муниципальной собственности Волгограда, включающий в себя основные условия концессионного соглашения </w:t>
      </w:r>
      <w:r w:rsidR="00E80CC9" w:rsidRPr="002376B6">
        <w:rPr>
          <w:rFonts w:eastAsia="Calibri"/>
          <w:sz w:val="28"/>
          <w:szCs w:val="28"/>
          <w:lang w:eastAsia="en-US"/>
        </w:rPr>
        <w:t>согласно приложению</w:t>
      </w:r>
      <w:r w:rsidR="000637DD">
        <w:rPr>
          <w:rFonts w:eastAsia="Calibri"/>
          <w:sz w:val="28"/>
          <w:szCs w:val="28"/>
          <w:lang w:eastAsia="en-US"/>
        </w:rPr>
        <w:t>,</w:t>
      </w:r>
      <w:r w:rsidR="00E80CC9" w:rsidRPr="002376B6">
        <w:rPr>
          <w:sz w:val="28"/>
          <w:szCs w:val="28"/>
        </w:rPr>
        <w:t xml:space="preserve"> в течение пяти рабочих дней после опубликования настоящего постановления.</w:t>
      </w:r>
    </w:p>
    <w:p w:rsidR="00E80CC9" w:rsidRPr="002376B6" w:rsidRDefault="001501CE" w:rsidP="002376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80CC9" w:rsidRPr="002376B6">
        <w:rPr>
          <w:sz w:val="28"/>
          <w:szCs w:val="28"/>
        </w:rPr>
        <w:t>Установить срок для подписания концессионного соглашения в отношении объектов наружного освещения,</w:t>
      </w:r>
      <w:r w:rsidR="00E80CC9" w:rsidRPr="002376B6">
        <w:rPr>
          <w:b/>
          <w:sz w:val="28"/>
          <w:szCs w:val="28"/>
        </w:rPr>
        <w:t xml:space="preserve"> </w:t>
      </w:r>
      <w:r w:rsidR="00E80CC9" w:rsidRPr="002376B6">
        <w:rPr>
          <w:sz w:val="28"/>
          <w:szCs w:val="28"/>
        </w:rPr>
        <w:t xml:space="preserve">находящихся в муниципальной собственности Волгограда, </w:t>
      </w:r>
      <w:r w:rsidR="00E80CC9" w:rsidRPr="002376B6">
        <w:rPr>
          <w:rFonts w:eastAsia="Calibri"/>
          <w:color w:val="000000"/>
          <w:sz w:val="28"/>
          <w:szCs w:val="28"/>
        </w:rPr>
        <w:t xml:space="preserve">– </w:t>
      </w:r>
      <w:r w:rsidR="00E80CC9" w:rsidRPr="002376B6">
        <w:rPr>
          <w:sz w:val="28"/>
          <w:szCs w:val="28"/>
        </w:rPr>
        <w:t>до 15</w:t>
      </w:r>
      <w:r>
        <w:rPr>
          <w:sz w:val="28"/>
          <w:szCs w:val="28"/>
        </w:rPr>
        <w:t xml:space="preserve"> февраля </w:t>
      </w:r>
      <w:r w:rsidR="00E80CC9" w:rsidRPr="002376B6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E80CC9" w:rsidRPr="002376B6">
        <w:rPr>
          <w:sz w:val="28"/>
          <w:szCs w:val="28"/>
        </w:rPr>
        <w:t>.</w:t>
      </w:r>
    </w:p>
    <w:p w:rsidR="00E80CC9" w:rsidRPr="002376B6" w:rsidRDefault="001501CE" w:rsidP="002376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0CC9" w:rsidRPr="002376B6">
        <w:rPr>
          <w:sz w:val="28"/>
          <w:szCs w:val="28"/>
        </w:rPr>
        <w:t xml:space="preserve">Настоящее постановление вступает в силу со дня его </w:t>
      </w:r>
      <w:r w:rsidR="000637DD">
        <w:rPr>
          <w:sz w:val="28"/>
          <w:szCs w:val="28"/>
        </w:rPr>
        <w:t>подписания и подлежит опубликованию в установленном порядке</w:t>
      </w:r>
      <w:r w:rsidR="00E80CC9" w:rsidRPr="002376B6">
        <w:rPr>
          <w:sz w:val="28"/>
          <w:szCs w:val="28"/>
        </w:rPr>
        <w:t>.</w:t>
      </w:r>
    </w:p>
    <w:p w:rsidR="00E80CC9" w:rsidRPr="002376B6" w:rsidRDefault="001501CE" w:rsidP="002376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80CC9" w:rsidRPr="002376B6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br/>
      </w:r>
      <w:r w:rsidR="00E80CC9" w:rsidRPr="002376B6">
        <w:rPr>
          <w:sz w:val="28"/>
          <w:szCs w:val="28"/>
        </w:rPr>
        <w:t>собой.</w:t>
      </w:r>
    </w:p>
    <w:p w:rsidR="00E80CC9" w:rsidRPr="002376B6" w:rsidRDefault="00E80CC9" w:rsidP="002376B6">
      <w:pPr>
        <w:ind w:left="567" w:firstLine="851"/>
        <w:jc w:val="both"/>
        <w:rPr>
          <w:color w:val="000000"/>
          <w:spacing w:val="-6"/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color w:val="000000"/>
          <w:spacing w:val="-6"/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color w:val="000000"/>
          <w:spacing w:val="-6"/>
          <w:sz w:val="28"/>
          <w:szCs w:val="28"/>
        </w:rPr>
      </w:pPr>
    </w:p>
    <w:p w:rsidR="00E80CC9" w:rsidRPr="002376B6" w:rsidRDefault="00E80CC9" w:rsidP="001501CE">
      <w:pPr>
        <w:ind w:left="567"/>
        <w:jc w:val="both"/>
        <w:rPr>
          <w:sz w:val="28"/>
          <w:szCs w:val="28"/>
        </w:rPr>
      </w:pPr>
      <w:r w:rsidRPr="002376B6">
        <w:rPr>
          <w:sz w:val="28"/>
          <w:szCs w:val="28"/>
        </w:rPr>
        <w:t>Глава администрации</w:t>
      </w:r>
      <w:r w:rsidR="001501CE">
        <w:rPr>
          <w:sz w:val="28"/>
          <w:szCs w:val="28"/>
        </w:rPr>
        <w:t xml:space="preserve">                               </w:t>
      </w:r>
      <w:r w:rsidR="000637DD">
        <w:rPr>
          <w:sz w:val="28"/>
          <w:szCs w:val="28"/>
        </w:rPr>
        <w:t xml:space="preserve">                      </w:t>
      </w:r>
      <w:r w:rsidR="001501CE">
        <w:rPr>
          <w:sz w:val="28"/>
          <w:szCs w:val="28"/>
        </w:rPr>
        <w:t xml:space="preserve">                                                   </w:t>
      </w:r>
      <w:proofErr w:type="spellStart"/>
      <w:r w:rsidRPr="002376B6">
        <w:rPr>
          <w:sz w:val="28"/>
          <w:szCs w:val="28"/>
        </w:rPr>
        <w:t>В.В.Лихачев</w:t>
      </w:r>
      <w:proofErr w:type="spellEnd"/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E80CC9" w:rsidRDefault="00E80CC9" w:rsidP="001501CE">
      <w:pPr>
        <w:ind w:left="567"/>
        <w:jc w:val="both"/>
        <w:rPr>
          <w:sz w:val="28"/>
          <w:szCs w:val="28"/>
        </w:rPr>
      </w:pPr>
      <w:r w:rsidRPr="002376B6">
        <w:rPr>
          <w:sz w:val="28"/>
          <w:szCs w:val="28"/>
        </w:rPr>
        <w:t xml:space="preserve">Разослано: администрации Волгограда – </w:t>
      </w:r>
      <w:r w:rsidR="001501CE">
        <w:rPr>
          <w:sz w:val="28"/>
          <w:szCs w:val="28"/>
        </w:rPr>
        <w:t xml:space="preserve">2 (Лихачев, </w:t>
      </w:r>
      <w:r w:rsidRPr="002376B6">
        <w:rPr>
          <w:sz w:val="28"/>
          <w:szCs w:val="28"/>
        </w:rPr>
        <w:t>Пешков</w:t>
      </w:r>
      <w:r w:rsidR="001501CE">
        <w:rPr>
          <w:sz w:val="28"/>
          <w:szCs w:val="28"/>
        </w:rPr>
        <w:t>а)</w:t>
      </w:r>
      <w:r w:rsidRPr="002376B6">
        <w:rPr>
          <w:sz w:val="28"/>
          <w:szCs w:val="28"/>
        </w:rPr>
        <w:t>, комитет</w:t>
      </w:r>
      <w:r w:rsidR="001501CE">
        <w:rPr>
          <w:sz w:val="28"/>
          <w:szCs w:val="28"/>
        </w:rPr>
        <w:t>у</w:t>
      </w:r>
      <w:r w:rsidRPr="002376B6">
        <w:rPr>
          <w:sz w:val="28"/>
          <w:szCs w:val="28"/>
        </w:rPr>
        <w:t xml:space="preserve"> правового обеспечения администрации Волгограда, департаменту муниципального имущества администрации Волгограда, </w:t>
      </w:r>
      <w:r w:rsidRPr="002376B6">
        <w:rPr>
          <w:color w:val="000000"/>
          <w:spacing w:val="-2"/>
          <w:sz w:val="28"/>
          <w:szCs w:val="28"/>
        </w:rPr>
        <w:t>департаменту городского хозяйства</w:t>
      </w:r>
      <w:r w:rsidRPr="002376B6">
        <w:rPr>
          <w:sz w:val="28"/>
          <w:szCs w:val="28"/>
        </w:rPr>
        <w:t xml:space="preserve"> администрации Волгограда, комитету экономического развития администрации Волгограда, департаменту финансов администрации Волгограда, МКП «</w:t>
      </w:r>
      <w:proofErr w:type="spellStart"/>
      <w:r w:rsidRPr="002376B6">
        <w:rPr>
          <w:sz w:val="28"/>
          <w:szCs w:val="28"/>
        </w:rPr>
        <w:t>Волгоградгорсвет</w:t>
      </w:r>
      <w:proofErr w:type="spellEnd"/>
      <w:r w:rsidRPr="002376B6">
        <w:rPr>
          <w:sz w:val="28"/>
          <w:szCs w:val="28"/>
        </w:rPr>
        <w:t>»</w:t>
      </w:r>
      <w:r w:rsidR="001501CE">
        <w:rPr>
          <w:sz w:val="28"/>
          <w:szCs w:val="28"/>
        </w:rPr>
        <w:t>, контрольному управлению администрации Волгограда, управлению по взаимодействию со средствами массовой информации администрации Волгограда, редакции газеты «Городские вести. Царицын – Сталинград – Волгоград»</w:t>
      </w:r>
    </w:p>
    <w:p w:rsidR="001501CE" w:rsidRDefault="001501CE" w:rsidP="001501CE">
      <w:pPr>
        <w:ind w:left="567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)</w:t>
      </w:r>
    </w:p>
    <w:p w:rsidR="001501CE" w:rsidRDefault="001501CE" w:rsidP="001501CE">
      <w:pPr>
        <w:ind w:left="567"/>
        <w:jc w:val="both"/>
        <w:rPr>
          <w:color w:val="000000"/>
          <w:spacing w:val="-2"/>
          <w:sz w:val="28"/>
          <w:szCs w:val="28"/>
        </w:rPr>
        <w:sectPr w:rsidR="001501CE" w:rsidSect="00CC1ACD">
          <w:headerReference w:type="default" r:id="rId8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E80CC9" w:rsidRPr="002376B6" w:rsidRDefault="00E80CC9" w:rsidP="001501CE">
      <w:pPr>
        <w:ind w:left="6804"/>
        <w:jc w:val="both"/>
        <w:rPr>
          <w:sz w:val="28"/>
          <w:szCs w:val="28"/>
        </w:rPr>
      </w:pPr>
      <w:r w:rsidRPr="002376B6">
        <w:rPr>
          <w:sz w:val="28"/>
          <w:szCs w:val="28"/>
        </w:rPr>
        <w:lastRenderedPageBreak/>
        <w:t>Приложение</w:t>
      </w:r>
    </w:p>
    <w:p w:rsidR="00E80CC9" w:rsidRPr="002376B6" w:rsidRDefault="00E80CC9" w:rsidP="001501CE">
      <w:pPr>
        <w:ind w:left="6804"/>
        <w:jc w:val="both"/>
        <w:rPr>
          <w:sz w:val="28"/>
          <w:szCs w:val="28"/>
        </w:rPr>
      </w:pPr>
      <w:r w:rsidRPr="002376B6">
        <w:rPr>
          <w:sz w:val="28"/>
          <w:szCs w:val="28"/>
        </w:rPr>
        <w:t xml:space="preserve">к постановлению </w:t>
      </w:r>
    </w:p>
    <w:p w:rsidR="00E80CC9" w:rsidRPr="002376B6" w:rsidRDefault="00E80CC9" w:rsidP="001501CE">
      <w:pPr>
        <w:ind w:left="6804"/>
        <w:jc w:val="both"/>
        <w:rPr>
          <w:sz w:val="28"/>
          <w:szCs w:val="28"/>
        </w:rPr>
      </w:pPr>
      <w:r w:rsidRPr="002376B6">
        <w:rPr>
          <w:sz w:val="28"/>
          <w:szCs w:val="28"/>
        </w:rPr>
        <w:t>администрации Волгограда</w:t>
      </w:r>
    </w:p>
    <w:p w:rsidR="00E80CC9" w:rsidRDefault="003D1823" w:rsidP="001501CE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17.01.2018  №</w:t>
      </w:r>
      <w:proofErr w:type="gramEnd"/>
      <w:r>
        <w:rPr>
          <w:sz w:val="28"/>
          <w:szCs w:val="28"/>
        </w:rPr>
        <w:t xml:space="preserve"> 49 </w:t>
      </w:r>
    </w:p>
    <w:p w:rsidR="001501CE" w:rsidRPr="002376B6" w:rsidRDefault="001501CE" w:rsidP="002376B6">
      <w:pPr>
        <w:ind w:left="567" w:firstLine="851"/>
        <w:jc w:val="both"/>
        <w:rPr>
          <w:sz w:val="28"/>
          <w:szCs w:val="28"/>
        </w:rPr>
      </w:pPr>
    </w:p>
    <w:p w:rsidR="00E80CC9" w:rsidRPr="002376B6" w:rsidRDefault="00E80CC9" w:rsidP="002376B6">
      <w:pPr>
        <w:ind w:left="567" w:firstLine="851"/>
        <w:jc w:val="both"/>
        <w:rPr>
          <w:sz w:val="28"/>
          <w:szCs w:val="28"/>
        </w:rPr>
      </w:pPr>
    </w:p>
    <w:p w:rsidR="001501CE" w:rsidRDefault="001501CE" w:rsidP="001501CE">
      <w:pPr>
        <w:ind w:left="567"/>
        <w:jc w:val="center"/>
        <w:rPr>
          <w:sz w:val="28"/>
          <w:szCs w:val="28"/>
        </w:rPr>
      </w:pPr>
      <w:r w:rsidRPr="002376B6">
        <w:rPr>
          <w:sz w:val="28"/>
          <w:szCs w:val="28"/>
        </w:rPr>
        <w:t>ОСНОВНЫЕ УСЛОВИЯ</w:t>
      </w:r>
    </w:p>
    <w:p w:rsidR="00E80CC9" w:rsidRPr="002376B6" w:rsidRDefault="00E80CC9" w:rsidP="001501CE">
      <w:pPr>
        <w:ind w:left="567"/>
        <w:jc w:val="center"/>
        <w:rPr>
          <w:sz w:val="28"/>
          <w:szCs w:val="28"/>
        </w:rPr>
      </w:pPr>
      <w:r w:rsidRPr="002376B6">
        <w:rPr>
          <w:sz w:val="28"/>
          <w:szCs w:val="28"/>
        </w:rPr>
        <w:t>концессионного соглашения в отношении объектов наружного освещения</w:t>
      </w:r>
      <w:r w:rsidRPr="001501CE">
        <w:rPr>
          <w:sz w:val="28"/>
          <w:szCs w:val="28"/>
        </w:rPr>
        <w:t xml:space="preserve">, </w:t>
      </w:r>
      <w:r w:rsidRPr="002376B6">
        <w:rPr>
          <w:sz w:val="28"/>
          <w:szCs w:val="28"/>
        </w:rPr>
        <w:t>находящихся в муниципальной собственности Волгограда</w:t>
      </w:r>
    </w:p>
    <w:p w:rsidR="00E80CC9" w:rsidRPr="002376B6" w:rsidRDefault="00E80CC9" w:rsidP="001501CE">
      <w:pPr>
        <w:ind w:left="567"/>
        <w:jc w:val="center"/>
        <w:rPr>
          <w:sz w:val="28"/>
          <w:szCs w:val="28"/>
        </w:rPr>
      </w:pPr>
    </w:p>
    <w:tbl>
      <w:tblPr>
        <w:tblW w:w="964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097"/>
        <w:gridCol w:w="6975"/>
      </w:tblGrid>
      <w:tr w:rsidR="00E80CC9" w:rsidRPr="001501CE" w:rsidTr="00EC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Условие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концессионного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соглашения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Содержание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условия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концессионного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соглашения</w:t>
            </w:r>
            <w:proofErr w:type="spellEnd"/>
          </w:p>
        </w:tc>
      </w:tr>
      <w:tr w:rsidR="00E80CC9" w:rsidRPr="001501CE" w:rsidTr="00EC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3</w:t>
            </w:r>
          </w:p>
        </w:tc>
      </w:tr>
      <w:tr w:rsidR="00E80CC9" w:rsidRPr="001501CE" w:rsidTr="00EC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1501CE" w:rsidRDefault="001501CE" w:rsidP="001501CE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Обязательства концессионера по созданию и (или) реконструкции объекта концессионного соглашения, соблюдению сроков его создания и (или) реконструкции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534367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Концессионер обязуется за свой счет в порядке, сроки и на условиях, установленных концессионным соглашением в отношении объектов наружного освещения, находящихся в </w:t>
            </w:r>
            <w:r w:rsidR="00534367">
              <w:rPr>
                <w:rFonts w:eastAsia="Arial"/>
                <w:sz w:val="28"/>
                <w:szCs w:val="28"/>
                <w:lang w:eastAsia="ar-SA"/>
              </w:rPr>
              <w:t>муниципальной собственности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 Волгоград</w:t>
            </w:r>
            <w:r w:rsidR="00534367"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 (далее </w:t>
            </w:r>
            <w:r w:rsidR="001501CE"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 Соглашение), обеспечить проектирование, создание, реконструк</w:t>
            </w:r>
            <w:bookmarkStart w:id="0" w:name="_GoBack"/>
            <w:bookmarkEnd w:id="0"/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цию и ввод в эксплуатацию недвижимого и технологически связанного с ним движимого имущества, входящего в объект Соглашения, состав и описание которого приведены в Соглашении (далее </w:t>
            </w:r>
            <w:r w:rsidR="001501CE"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 Объект Соглашения), в порядке и сроки, предусмотренные Соглашением</w:t>
            </w:r>
          </w:p>
        </w:tc>
      </w:tr>
      <w:tr w:rsidR="00E80CC9" w:rsidRPr="001501CE" w:rsidTr="00EC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1501CE" w:rsidRDefault="001501CE" w:rsidP="001501CE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1501C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Концессионер обязуется за свой счет в порядке, сроки и на условиях, установленных Соглашением</w:t>
            </w:r>
            <w:r w:rsidR="001501CE">
              <w:rPr>
                <w:rFonts w:eastAsia="Arial"/>
                <w:sz w:val="28"/>
                <w:szCs w:val="28"/>
                <w:lang w:eastAsia="ar-SA"/>
              </w:rPr>
              <w:t>,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 xml:space="preserve"> осуществлять деятельность по освещению </w:t>
            </w:r>
            <w:r w:rsidRPr="001501CE">
              <w:rPr>
                <w:sz w:val="28"/>
                <w:szCs w:val="28"/>
              </w:rPr>
              <w:t xml:space="preserve">территории городского округа город-герой Волгоград </w:t>
            </w:r>
            <w:r w:rsidRPr="001501CE">
              <w:rPr>
                <w:rFonts w:eastAsia="Arial"/>
                <w:sz w:val="28"/>
                <w:szCs w:val="28"/>
                <w:lang w:eastAsia="ar-SA"/>
              </w:rPr>
              <w:t>путем использования (эксплуатации) объектов имущества в составе Объекта Соглашения, переданных концессионеру по Соглашению, а также созданных в соответствии с Соглашением</w:t>
            </w:r>
          </w:p>
        </w:tc>
      </w:tr>
      <w:tr w:rsidR="00E80CC9" w:rsidRPr="001501CE" w:rsidTr="00EC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1501CE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EC6992">
            <w:pPr>
              <w:rPr>
                <w:rFonts w:eastAsia="Arial"/>
                <w:sz w:val="28"/>
                <w:szCs w:val="28"/>
                <w:lang w:val="en-US" w:eastAsia="ar-SA"/>
              </w:rPr>
            </w:pP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Срок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действия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концессионного</w:t>
            </w:r>
            <w:proofErr w:type="spellEnd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501CE">
              <w:rPr>
                <w:rFonts w:eastAsia="Arial"/>
                <w:sz w:val="28"/>
                <w:szCs w:val="28"/>
                <w:lang w:val="en-US" w:eastAsia="ar-SA"/>
              </w:rPr>
              <w:t>соглашения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1501CE" w:rsidRDefault="00E80CC9" w:rsidP="00EC6992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501CE">
              <w:rPr>
                <w:rFonts w:eastAsia="Arial"/>
                <w:sz w:val="28"/>
                <w:szCs w:val="28"/>
                <w:lang w:eastAsia="ar-SA"/>
              </w:rPr>
              <w:t>Соглашение вступает в силу с даты его подписания и действует в течение 15 (пятнадцати) лет</w:t>
            </w:r>
          </w:p>
        </w:tc>
      </w:tr>
      <w:tr w:rsidR="00E80CC9" w:rsidRPr="002376B6" w:rsidTr="00EC69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Описание, в том числе технико-экономические показатели, объекта концессионного соглашения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Состав и описание объектов имущества в составе Объекта Соглашения, в том числе технико-экономические показатели объектов имущества, на момент: а) передачи их концессионеру в порядке, предусмотренном Соглашением, и б) завершения мероприятий по проектированию, созданию и реконструкции приведены в Соглашении</w:t>
            </w:r>
          </w:p>
        </w:tc>
      </w:tr>
    </w:tbl>
    <w:p w:rsidR="00EC6992" w:rsidRDefault="00EC6992">
      <w:r>
        <w:br w:type="page"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6975"/>
      </w:tblGrid>
      <w:tr w:rsidR="00EC6992" w:rsidRPr="002376B6" w:rsidTr="003D182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2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2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2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3D1823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Срок передачи существующих на момент заключения Соглашения объектов имущества в составе Объекта Соглашения – в течение 30 (тридцати) рабочих дней с момента заключения Соглашени</w:t>
            </w:r>
            <w:r w:rsidR="003D1823">
              <w:rPr>
                <w:rFonts w:eastAsia="Arial"/>
                <w:sz w:val="28"/>
                <w:szCs w:val="28"/>
                <w:lang w:eastAsia="ar-SA"/>
              </w:rPr>
              <w:t>я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Порядок предоставления концессионеру земельных участков, срок заключения с концессионером договоров аренды (субаренды) этих земельных участков, размер арендной платы (ставки арендной платы) либо формула расчета размера арендной платы (ставки арендной платы)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Предоставление земельных участков и (или) обеспечение их использования концессионером осуществляется путем заключения договоров аренды (субаренды), установления сервитутов, обеспечения использования земельных участков концессионером без их предоставления и установления сервитута либо иным способом, предусмотренным </w:t>
            </w:r>
            <w:r w:rsidR="003D1823">
              <w:rPr>
                <w:rFonts w:eastAsia="Arial"/>
                <w:sz w:val="28"/>
                <w:szCs w:val="28"/>
                <w:lang w:eastAsia="ar-SA"/>
              </w:rPr>
              <w:t xml:space="preserve">действующим 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законодательством, в зависимости от характера мероприятий, проводимых концессионером в отношении объектов, расположенных на таких участках.</w:t>
            </w:r>
          </w:p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Договоры аренды (субаренды) в отношении земельных участков, которые надлежащим образом сформированы на дату подписания Соглашения, подлежат заключению в течение 30 (тридцати) календарных дней со дня обращения концессионера о предоставлении соответствующих земельных участков.</w:t>
            </w:r>
          </w:p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Договоры аренды (субаренды) в отношении земельных участков, которые надлежащим образом не сформированы на дату подписания Соглашения, подлеж</w:t>
            </w:r>
            <w:r w:rsidR="00EC6992"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т заключению в течение 90 (девяноста) календарных дней со дня обращения концессионера о предоставлении соответствующих земельных участков. Формирование земельных участков, включая кадастровый учет и государственную регистрацию прав собственности, осуществляется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концедентом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за свой счет.</w:t>
            </w:r>
          </w:p>
          <w:p w:rsidR="00E80CC9" w:rsidRPr="002376B6" w:rsidRDefault="00E80CC9" w:rsidP="00EC6992">
            <w:pPr>
              <w:rPr>
                <w:sz w:val="28"/>
                <w:szCs w:val="28"/>
              </w:rPr>
            </w:pPr>
            <w:r w:rsidRPr="002376B6">
              <w:rPr>
                <w:sz w:val="28"/>
                <w:szCs w:val="28"/>
              </w:rPr>
              <w:t>Размер арендной платы (ставки арендной платы):</w:t>
            </w:r>
          </w:p>
          <w:p w:rsidR="00E80CC9" w:rsidRPr="002376B6" w:rsidRDefault="00E80CC9" w:rsidP="00EC69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76B6">
              <w:rPr>
                <w:rFonts w:eastAsia="Calibri"/>
                <w:sz w:val="28"/>
                <w:szCs w:val="28"/>
                <w:lang w:eastAsia="en-US"/>
              </w:rPr>
              <w:t>до момента окончания создания и (или) реконструкции объекта имущества в составе Объекта Соглашения, находящегося на данном земельном участке, составляет 1 (один) рубль;</w:t>
            </w:r>
          </w:p>
          <w:p w:rsidR="00E80CC9" w:rsidRPr="002376B6" w:rsidRDefault="00E80CC9" w:rsidP="00EC69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76B6">
              <w:rPr>
                <w:rFonts w:eastAsia="Calibri"/>
                <w:sz w:val="28"/>
                <w:szCs w:val="28"/>
                <w:lang w:eastAsia="en-US"/>
              </w:rPr>
              <w:t>после окончания создания и (или) реконструкции объекта имущества в составе Объекта Соглашения, находящегося на данном земельном участке, равен размеру земельного налога для данного земельного участка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EC6992" w:rsidP="00EC699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23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Цели и срок использования (эксплуатации) 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объекта концессионного</w:t>
            </w:r>
          </w:p>
          <w:p w:rsidR="00E80CC9" w:rsidRPr="002376B6" w:rsidRDefault="00E80CC9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соглашения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C6992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1. 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>Концессионер обязан использовать (эксплуатировать) Объект Соглашения в установленном Соглашением порядке в целях осуществления деятельности, указанной в пункте 2 настоящих Условий концессионного соглашения</w:t>
            </w:r>
            <w:r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E80CC9" w:rsidRPr="002376B6" w:rsidRDefault="00EC6992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2. 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>Срок использования (эксплуатации) Объекта Соглашения – с даты подписания акта приема-передачи первого из объектов имущества в составе Объекта Соглашения, с использованием которого может осуществляться деятельность, предусмотренная пунктом 2 настоящих Условий концессионного соглашения, до даты подписания акта возврата в отношении первого из объектов имущества в составе Объекта Соглашения, в отсутствие которого не может осуществляться деятельность, предусмотренная пунктом 2 настоящих Условий концессионного соглашения, либо до момента совершения концессионером всех необходимых действий по передаче такого объекта в порядке, предусмотренном Соглашением.</w:t>
            </w:r>
          </w:p>
          <w:p w:rsidR="00E80CC9" w:rsidRPr="002376B6" w:rsidRDefault="00EC6992" w:rsidP="00EC6992">
            <w:pPr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3. 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>Срок использования (эксплуатации) отдельных объектов имущества в составе Объекта Соглашения, подлежащих созданию в соответствии с условиями Соглашения, – с даты ввода в эксплуатацию соответствующего объекта или подписания акта об исполнении в случае, если ввод в эксплуатацию соответствующего объекта не осуществляется с учетом положений</w:t>
            </w:r>
            <w:r w:rsidR="003D1823">
              <w:rPr>
                <w:rFonts w:eastAsia="Arial"/>
                <w:sz w:val="28"/>
                <w:szCs w:val="28"/>
                <w:lang w:eastAsia="ar-SA"/>
              </w:rPr>
              <w:t xml:space="preserve"> действующего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 xml:space="preserve"> законодательства, до даты подписания акта возврата в отношении первого из объектов имущества в составе Объекта Соглашения, в отсутствие которого не может осуществляться деятельность, предусмотренная пунктом 2 настоящих Условий концессионного соглашения, либо до момента совершения концессионером всех необходимых действий по передаче такого объекта в порядке, предусмотренном Соглашением.</w:t>
            </w:r>
          </w:p>
          <w:p w:rsidR="00E80CC9" w:rsidRPr="002376B6" w:rsidRDefault="00EC6992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4. 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 xml:space="preserve">Срок использования (эксплуатации) отдельных объектов имущества в составе Объекта Соглашения, подлежащих реконструкции, определяется в соответствии с подпунктом 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t>2</w:t>
            </w:r>
            <w:r w:rsidR="00E80CC9" w:rsidRPr="002376B6">
              <w:rPr>
                <w:rFonts w:eastAsia="Arial"/>
                <w:sz w:val="28"/>
                <w:szCs w:val="28"/>
                <w:lang w:eastAsia="ar-SA"/>
              </w:rPr>
              <w:t xml:space="preserve"> настоящего пункта с учетом перерыва на период проведения мероприятий по реконструкции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472D1D" w:rsidP="00472D1D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3D1823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Общий объ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t>е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м инвестиций на создание и (или) реконструкцию </w:t>
            </w:r>
            <w:r w:rsidR="003D1823">
              <w:rPr>
                <w:rFonts w:eastAsia="Arial"/>
                <w:sz w:val="28"/>
                <w:szCs w:val="28"/>
                <w:lang w:eastAsia="ar-SA"/>
              </w:rPr>
              <w:t>О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бъекта Соглашения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3D1823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Общий объ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t>е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м инвестиций на создание и (или) реконструкцию </w:t>
            </w:r>
            <w:r w:rsidR="003D1823">
              <w:rPr>
                <w:rFonts w:eastAsia="Arial"/>
                <w:sz w:val="28"/>
                <w:szCs w:val="28"/>
                <w:lang w:eastAsia="ar-SA"/>
              </w:rPr>
              <w:t>О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бъекта Соглашения, предусмотренный 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br/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Программой модернизации, составляет не менее 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br/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943,9 млн. руб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(с НДС) в ценах базового 2017 года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472D1D" w:rsidP="00472D1D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Способы обеспечения испол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нения концессионером обязательств по концессионному соглашению, размеры предоставляемого обеспечения и срок, на который оно предоставляется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Концессионер обязан предоставить обеспечение исполнения обязательств по Соглашению путем предоставле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ния безотзывной банковской гарантии, обеспечивающей надлежащее выполнение концессионером обязательств по проектированию, созданию и реконструкции Объекта Соглашения. Размер банковской гарантии – 250 млн. руб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. Банковская гарантия в указанном размере предоставляется ежегодно в течение трех лет 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472D1D" w:rsidP="00472D1D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val="en-US" w:eastAsia="ar-SA"/>
              </w:rPr>
            </w:pPr>
            <w:proofErr w:type="spellStart"/>
            <w:r w:rsidRPr="002376B6">
              <w:rPr>
                <w:rFonts w:eastAsia="Arial"/>
                <w:sz w:val="28"/>
                <w:szCs w:val="28"/>
                <w:lang w:val="en-US" w:eastAsia="ar-SA"/>
              </w:rPr>
              <w:t>Финансовое</w:t>
            </w:r>
            <w:proofErr w:type="spellEnd"/>
            <w:r w:rsidRPr="002376B6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376B6">
              <w:rPr>
                <w:rFonts w:eastAsia="Arial"/>
                <w:sz w:val="28"/>
                <w:szCs w:val="28"/>
                <w:lang w:val="en-US" w:eastAsia="ar-SA"/>
              </w:rPr>
              <w:t>участие</w:t>
            </w:r>
            <w:proofErr w:type="spellEnd"/>
            <w:r w:rsidRPr="002376B6">
              <w:rPr>
                <w:rFonts w:eastAsia="Arial"/>
                <w:sz w:val="28"/>
                <w:szCs w:val="28"/>
                <w:lang w:val="en-US" w:eastAsia="ar-SA"/>
              </w:rPr>
              <w:t xml:space="preserve"> 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к</w:t>
            </w:r>
            <w:proofErr w:type="spellStart"/>
            <w:r w:rsidRPr="002376B6">
              <w:rPr>
                <w:rFonts w:eastAsia="Arial"/>
                <w:sz w:val="28"/>
                <w:szCs w:val="28"/>
                <w:lang w:val="en-US" w:eastAsia="ar-SA"/>
              </w:rPr>
              <w:t>онцедента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принимает на себя обязательства по финансированию в следующих формах: 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капитальный грант;</w:t>
            </w:r>
          </w:p>
          <w:p w:rsidR="00E80CC9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плата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472D1D" w:rsidRPr="002376B6" w:rsidRDefault="00472D1D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472D1D" w:rsidRDefault="00E80CC9" w:rsidP="00472D1D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График выплаты капитального гранта </w:t>
            </w:r>
          </w:p>
          <w:p w:rsidR="00E80CC9" w:rsidRDefault="00E80CC9" w:rsidP="00472D1D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и размеры платежей:</w:t>
            </w:r>
          </w:p>
          <w:tbl>
            <w:tblPr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0"/>
              <w:gridCol w:w="3768"/>
            </w:tblGrid>
            <w:tr w:rsidR="00E80CC9" w:rsidRPr="002376B6" w:rsidTr="006243B2">
              <w:tc>
                <w:tcPr>
                  <w:tcW w:w="2950" w:type="dxa"/>
                  <w:hideMark/>
                </w:tcPr>
                <w:p w:rsidR="00472D1D" w:rsidRDefault="00E80CC9" w:rsidP="00472D1D">
                  <w:pPr>
                    <w:jc w:val="center"/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 xml:space="preserve">Дата направления </w:t>
                  </w:r>
                </w:p>
                <w:p w:rsidR="00E80CC9" w:rsidRPr="002376B6" w:rsidRDefault="00E80CC9" w:rsidP="00472D1D">
                  <w:pPr>
                    <w:jc w:val="center"/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платежа</w:t>
                  </w:r>
                </w:p>
              </w:tc>
              <w:tc>
                <w:tcPr>
                  <w:tcW w:w="3768" w:type="dxa"/>
                  <w:hideMark/>
                </w:tcPr>
                <w:p w:rsidR="00E80CC9" w:rsidRPr="002376B6" w:rsidRDefault="00E80CC9" w:rsidP="00472D1D">
                  <w:pPr>
                    <w:jc w:val="center"/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Размер платежа,</w:t>
                  </w:r>
                </w:p>
                <w:p w:rsidR="00E80CC9" w:rsidRPr="002376B6" w:rsidRDefault="00E80CC9" w:rsidP="00472D1D">
                  <w:pPr>
                    <w:jc w:val="center"/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тыс. руб.</w:t>
                  </w:r>
                </w:p>
              </w:tc>
            </w:tr>
            <w:tr w:rsidR="00E80CC9" w:rsidRPr="002376B6" w:rsidTr="006243B2">
              <w:tc>
                <w:tcPr>
                  <w:tcW w:w="2950" w:type="dxa"/>
                  <w:hideMark/>
                </w:tcPr>
                <w:p w:rsidR="00E80CC9" w:rsidRPr="002376B6" w:rsidRDefault="00E80CC9" w:rsidP="00472D1D">
                  <w:pPr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не позднее 01.02.2020</w:t>
                  </w:r>
                </w:p>
              </w:tc>
              <w:tc>
                <w:tcPr>
                  <w:tcW w:w="3768" w:type="dxa"/>
                  <w:hideMark/>
                </w:tcPr>
                <w:p w:rsidR="00E80CC9" w:rsidRPr="002376B6" w:rsidRDefault="00E80CC9" w:rsidP="00472D1D">
                  <w:pPr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215 000</w:t>
                  </w:r>
                </w:p>
              </w:tc>
            </w:tr>
            <w:tr w:rsidR="00E80CC9" w:rsidRPr="002376B6" w:rsidTr="006243B2">
              <w:tc>
                <w:tcPr>
                  <w:tcW w:w="2950" w:type="dxa"/>
                  <w:hideMark/>
                </w:tcPr>
                <w:p w:rsidR="00E80CC9" w:rsidRPr="002376B6" w:rsidRDefault="00E80CC9" w:rsidP="00472D1D">
                  <w:pPr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не позднее 01.02.2021</w:t>
                  </w:r>
                </w:p>
              </w:tc>
              <w:tc>
                <w:tcPr>
                  <w:tcW w:w="3768" w:type="dxa"/>
                  <w:hideMark/>
                </w:tcPr>
                <w:p w:rsidR="00E80CC9" w:rsidRPr="002376B6" w:rsidRDefault="00E80CC9" w:rsidP="00472D1D">
                  <w:pPr>
                    <w:rPr>
                      <w:sz w:val="28"/>
                      <w:szCs w:val="28"/>
                    </w:rPr>
                  </w:pPr>
                  <w:r w:rsidRPr="002376B6">
                    <w:rPr>
                      <w:sz w:val="28"/>
                      <w:szCs w:val="28"/>
                    </w:rPr>
                    <w:t>210 000</w:t>
                  </w:r>
                </w:p>
              </w:tc>
            </w:tr>
          </w:tbl>
          <w:p w:rsidR="00472D1D" w:rsidRDefault="00472D1D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При подписании Соглашения Стороны исходят из того, что для целей выплаты </w:t>
            </w:r>
            <w:r w:rsidR="00294EFD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апитального гранта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концеденту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направляется межбюджетный трансферт от </w:t>
            </w:r>
            <w:r w:rsidR="00472D1D">
              <w:rPr>
                <w:rFonts w:eastAsia="Arial"/>
                <w:sz w:val="28"/>
                <w:szCs w:val="28"/>
                <w:lang w:eastAsia="ar-SA"/>
              </w:rPr>
              <w:br/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Волгоградской области либо бюджетное ассигнование в иной форме. 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Размер платежей является окончательным и включает в себя все налоги, сборы и иные обязательные платежи (в том числе НДС), связанные с участием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в расходах на создание и </w:t>
            </w:r>
            <w:r w:rsidR="00294EFD">
              <w:rPr>
                <w:rFonts w:eastAsia="Arial"/>
                <w:sz w:val="28"/>
                <w:szCs w:val="28"/>
                <w:lang w:eastAsia="ar-SA"/>
              </w:rPr>
              <w:t>р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еконструкцию Объекта Соглашения.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Источник финансирования: средства бюджета Волгограда.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Плата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выплачивается в целях финансирования расходов концессионера на улучшение технико-экономических показателей Объекта Соглашения, использование (эксплуатацию) Объекта Соглашения, включая расходы на приобретение электрической энергии в целях использования (эксплуатации) Объекта Соглашения, и включает в себя следующие платежи: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постоянная часть платы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(финансирование расходов на текущее содержание и ремонт существующих на момент заключения Соглашения объектов наружного освещения);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платеж за электрическую энергию;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платеж за капитальный ремонт;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платеж на возмещение части процентов по привлеченному финансированию;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платеж за эксплуатацию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светоточек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>, подлежащих созданию в соответствии с условиями Соглашения.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Порядок выплаты платежей в составе платы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определяется Соглашением исходя из следующих предельных величин:</w:t>
            </w:r>
          </w:p>
          <w:p w:rsidR="00E80CC9" w:rsidRPr="002376B6" w:rsidRDefault="00E80CC9" w:rsidP="00472D1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</w:p>
          <w:tbl>
            <w:tblPr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4421"/>
            </w:tblGrid>
            <w:tr w:rsidR="00E80CC9" w:rsidRPr="002376B6" w:rsidTr="006243B2">
              <w:trPr>
                <w:trHeight w:val="576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2376B6">
                    <w:rPr>
                      <w:sz w:val="28"/>
                      <w:szCs w:val="28"/>
                      <w:lang w:val="en-US" w:eastAsia="en-US"/>
                    </w:rPr>
                    <w:t>Год</w:t>
                  </w:r>
                  <w:proofErr w:type="spellEnd"/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 xml:space="preserve">Размер платы </w:t>
                  </w:r>
                  <w:proofErr w:type="spellStart"/>
                  <w:r w:rsidRPr="002376B6">
                    <w:rPr>
                      <w:sz w:val="28"/>
                      <w:szCs w:val="28"/>
                      <w:lang w:eastAsia="en-US"/>
                    </w:rPr>
                    <w:t>концедента</w:t>
                  </w:r>
                  <w:proofErr w:type="spellEnd"/>
                </w:p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за год, тыс. руб.</w:t>
                  </w:r>
                </w:p>
              </w:tc>
            </w:tr>
            <w:tr w:rsidR="00E80CC9" w:rsidRPr="002376B6" w:rsidTr="006243B2">
              <w:trPr>
                <w:trHeight w:val="394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298 781,4</w:t>
                  </w:r>
                </w:p>
              </w:tc>
            </w:tr>
            <w:tr w:rsidR="00E80CC9" w:rsidRPr="002376B6" w:rsidTr="006243B2">
              <w:trPr>
                <w:trHeight w:val="31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328 510,5</w:t>
                  </w:r>
                </w:p>
              </w:tc>
            </w:tr>
            <w:tr w:rsidR="00E80CC9" w:rsidRPr="002376B6" w:rsidTr="00294EFD">
              <w:trPr>
                <w:trHeight w:val="211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360 163,5</w:t>
                  </w:r>
                </w:p>
              </w:tc>
            </w:tr>
            <w:tr w:rsidR="00E80CC9" w:rsidRPr="002376B6" w:rsidTr="006243B2">
              <w:trPr>
                <w:trHeight w:val="450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2021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384 464,8</w:t>
                  </w:r>
                </w:p>
              </w:tc>
            </w:tr>
            <w:tr w:rsidR="00E80CC9" w:rsidRPr="002376B6" w:rsidTr="006243B2">
              <w:trPr>
                <w:trHeight w:val="43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2022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410 632,9</w:t>
                  </w:r>
                </w:p>
              </w:tc>
            </w:tr>
            <w:tr w:rsidR="00E80CC9" w:rsidRPr="002376B6" w:rsidTr="006243B2">
              <w:trPr>
                <w:trHeight w:val="37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2023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438 819,3</w:t>
                  </w:r>
                </w:p>
              </w:tc>
            </w:tr>
            <w:tr w:rsidR="00E80CC9" w:rsidRPr="002376B6" w:rsidTr="006243B2">
              <w:trPr>
                <w:trHeight w:val="40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2024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469 188,7</w:t>
                  </w:r>
                </w:p>
              </w:tc>
            </w:tr>
            <w:tr w:rsidR="00E80CC9" w:rsidRPr="002376B6" w:rsidTr="006243B2">
              <w:trPr>
                <w:trHeight w:val="420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2025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501 919,3</w:t>
                  </w:r>
                </w:p>
              </w:tc>
            </w:tr>
            <w:tr w:rsidR="00E80CC9" w:rsidRPr="002376B6" w:rsidTr="006243B2">
              <w:trPr>
                <w:trHeight w:val="43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2026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537 204,8</w:t>
                  </w:r>
                </w:p>
              </w:tc>
            </w:tr>
            <w:tr w:rsidR="00E80CC9" w:rsidRPr="002376B6" w:rsidTr="00294EFD">
              <w:trPr>
                <w:trHeight w:val="31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2027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575 255,1</w:t>
                  </w:r>
                </w:p>
              </w:tc>
            </w:tr>
            <w:tr w:rsidR="00E80CC9" w:rsidRPr="002376B6" w:rsidTr="006243B2">
              <w:trPr>
                <w:trHeight w:val="390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2028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616 298,2</w:t>
                  </w:r>
                </w:p>
              </w:tc>
            </w:tr>
            <w:tr w:rsidR="00E80CC9" w:rsidRPr="002376B6" w:rsidTr="006243B2">
              <w:trPr>
                <w:trHeight w:val="31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2029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660 581,4</w:t>
                  </w:r>
                </w:p>
              </w:tc>
            </w:tr>
            <w:tr w:rsidR="00E80CC9" w:rsidRPr="002376B6" w:rsidTr="006243B2">
              <w:trPr>
                <w:trHeight w:val="420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2030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708 373,0</w:t>
                  </w:r>
                </w:p>
              </w:tc>
            </w:tr>
            <w:tr w:rsidR="00E80CC9" w:rsidRPr="002376B6" w:rsidTr="006243B2">
              <w:trPr>
                <w:trHeight w:val="361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2031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759 964,7</w:t>
                  </w:r>
                </w:p>
              </w:tc>
            </w:tr>
            <w:tr w:rsidR="00E80CC9" w:rsidRPr="002376B6" w:rsidTr="006243B2">
              <w:trPr>
                <w:trHeight w:val="315"/>
              </w:trPr>
              <w:tc>
                <w:tcPr>
                  <w:tcW w:w="2297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sz w:val="28"/>
                      <w:szCs w:val="28"/>
                      <w:lang w:eastAsia="en-US"/>
                    </w:rPr>
                    <w:t>2032</w:t>
                  </w:r>
                </w:p>
              </w:tc>
              <w:tc>
                <w:tcPr>
                  <w:tcW w:w="4421" w:type="dxa"/>
                  <w:hideMark/>
                </w:tcPr>
                <w:p w:rsidR="00E80CC9" w:rsidRPr="002376B6" w:rsidRDefault="00E80CC9" w:rsidP="006243B2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376B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815 672,7</w:t>
                  </w:r>
                </w:p>
              </w:tc>
            </w:tr>
          </w:tbl>
          <w:p w:rsidR="00E80CC9" w:rsidRPr="002376B6" w:rsidRDefault="00E80CC9" w:rsidP="006243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Источник финансирования: средства бюджета Волгограда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6243B2" w:rsidP="006243B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FD" w:rsidRDefault="00E80CC9" w:rsidP="006243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Размер концессионной платы, форм</w:t>
            </w:r>
            <w:r w:rsidR="00294EFD"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или 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формы, порядок и сроки</w:t>
            </w:r>
          </w:p>
          <w:p w:rsidR="00E80CC9" w:rsidRPr="002376B6" w:rsidRDefault="00E80CC9" w:rsidP="006243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ее внесения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6243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Концессионная плата выплачивается концессионером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концеденту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ежегодно не позднее 31 января года, следующего за отчетным</w:t>
            </w:r>
            <w:r w:rsidR="00294EFD">
              <w:rPr>
                <w:rFonts w:eastAsia="Arial"/>
                <w:sz w:val="28"/>
                <w:szCs w:val="28"/>
                <w:lang w:eastAsia="ar-SA"/>
              </w:rPr>
              <w:t>.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lastRenderedPageBreak/>
              <w:t>Размер концессионной платы составляет 1,5% от выручки концессионера, полученной в течение отчетного года от передачи составных частей объектов имущества в составе Объекта Соглашения в пользование третьим лицам, осуществленной в соответствии с условиями Соглашения, включая НДС. Во избежание сомнений обязанности по исчислению, удержанию и уплате в бюджет соответствующих сумм НДС осуществляет концессионер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F832B2" w:rsidP="00F832B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В случае досрочного расторжения Соглашения возмещение расходов концессионера на создание и (или) реконструкцию Объекта Соглашения осуществляется за счет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в размере расходов концессионера на создание и (или) реконструкцию Объекта Соглашения (включая фактически понесенные расходы, связанные с привлечением концессионером финансирования из расчета стоимости привлеченного финансирования не более 12% годовых в целях исполнения обязательств по созданию и (или) реконструкции Объекта Соглашения), не возмещенных за счет капитального гранта, выручки концессионера за срок действия Соглашения, определяемой в порядке, предусмотренном Соглашением, и части платы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, направляемой на оплату процентов по привлеченному финансированию. </w:t>
            </w:r>
          </w:p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Порядок и срок возмещения расходов концессионера, связанных с досрочным расторжением Соглашения, приведены в Соглашении</w:t>
            </w:r>
          </w:p>
        </w:tc>
      </w:tr>
      <w:tr w:rsidR="00E80CC9" w:rsidRPr="002376B6" w:rsidTr="003D1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9" w:rsidRPr="002376B6" w:rsidRDefault="00F832B2" w:rsidP="00F832B2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Обязательства </w:t>
            </w:r>
            <w:proofErr w:type="spellStart"/>
            <w:r w:rsidRPr="002376B6">
              <w:rPr>
                <w:rFonts w:eastAsia="Arial"/>
                <w:sz w:val="28"/>
                <w:szCs w:val="28"/>
                <w:lang w:eastAsia="ar-SA"/>
              </w:rPr>
              <w:t>концедента</w:t>
            </w:r>
            <w:proofErr w:type="spellEnd"/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и (или) концессионера по подготовке территории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В целях подготовки территории, необходимой для создания и реконструкции Объекта Соглашения и для осуществления деятельности, предусмотренной пунктом 2 настоящих Условий концессионного соглашения, концессионер осуществляет:</w:t>
            </w:r>
          </w:p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необходимые для начала создания</w:t>
            </w:r>
            <w:r w:rsidR="00F832B2">
              <w:rPr>
                <w:rFonts w:eastAsia="Arial"/>
                <w:sz w:val="28"/>
                <w:szCs w:val="28"/>
                <w:lang w:eastAsia="ar-SA"/>
              </w:rPr>
              <w:t xml:space="preserve"> (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>реконструкции</w:t>
            </w:r>
            <w:r w:rsidR="00F832B2">
              <w:rPr>
                <w:rFonts w:eastAsia="Arial"/>
                <w:sz w:val="28"/>
                <w:szCs w:val="28"/>
                <w:lang w:eastAsia="ar-SA"/>
              </w:rPr>
              <w:t>)</w:t>
            </w:r>
            <w:r w:rsidRPr="002376B6">
              <w:rPr>
                <w:rFonts w:eastAsia="Arial"/>
                <w:sz w:val="28"/>
                <w:szCs w:val="28"/>
                <w:lang w:eastAsia="ar-SA"/>
              </w:rPr>
              <w:t xml:space="preserve"> подготовительные работы, предусмотренные проектной или сметной документацией, включая расчистку земельных участков и прокладку временных инженерных сетей и подъездных путей, а также создание иных временных сооружений;</w:t>
            </w:r>
          </w:p>
          <w:p w:rsidR="00E80CC9" w:rsidRPr="002376B6" w:rsidRDefault="00E80CC9" w:rsidP="00F832B2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376B6">
              <w:rPr>
                <w:rFonts w:eastAsia="Arial"/>
                <w:sz w:val="28"/>
                <w:szCs w:val="28"/>
                <w:lang w:eastAsia="ar-SA"/>
              </w:rPr>
              <w:t>иные мероприятия по подготовке территории, не предусмотренные проектной или сметной документацией, но необходимые для выполнения мероприятий по проектированию, созданию и реконструкции Объекта Соглашения</w:t>
            </w:r>
          </w:p>
        </w:tc>
      </w:tr>
    </w:tbl>
    <w:p w:rsidR="00A82237" w:rsidRPr="00676C46" w:rsidRDefault="00A82237" w:rsidP="00676C46">
      <w:pPr>
        <w:ind w:left="567"/>
        <w:jc w:val="both"/>
        <w:rPr>
          <w:sz w:val="28"/>
          <w:szCs w:val="28"/>
        </w:rPr>
      </w:pPr>
    </w:p>
    <w:sectPr w:rsidR="00A82237" w:rsidRPr="00676C46" w:rsidSect="001501CE"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A" w:rsidRDefault="000A367A">
      <w:r>
        <w:separator/>
      </w:r>
    </w:p>
  </w:endnote>
  <w:endnote w:type="continuationSeparator" w:id="0">
    <w:p w:rsidR="000A367A" w:rsidRDefault="000A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A" w:rsidRDefault="000A367A">
      <w:r>
        <w:separator/>
      </w:r>
    </w:p>
  </w:footnote>
  <w:footnote w:type="continuationSeparator" w:id="0">
    <w:p w:rsidR="000A367A" w:rsidRDefault="000A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EFD">
      <w:rPr>
        <w:noProof/>
      </w:rPr>
      <w:t>6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28B"/>
    <w:multiLevelType w:val="hybridMultilevel"/>
    <w:tmpl w:val="3372F496"/>
    <w:lvl w:ilvl="0" w:tplc="63A4EE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0EF"/>
    <w:multiLevelType w:val="hybridMultilevel"/>
    <w:tmpl w:val="1C5EA3EA"/>
    <w:lvl w:ilvl="0" w:tplc="63A4EE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3" w15:restartNumberingAfterBreak="0">
    <w:nsid w:val="0B097FF9"/>
    <w:multiLevelType w:val="hybridMultilevel"/>
    <w:tmpl w:val="954AC6D8"/>
    <w:lvl w:ilvl="0" w:tplc="63A4EE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7" w15:restartNumberingAfterBreak="0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11" w15:restartNumberingAfterBreak="0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25302"/>
    <w:multiLevelType w:val="hybridMultilevel"/>
    <w:tmpl w:val="6388B52E"/>
    <w:lvl w:ilvl="0" w:tplc="63A4EE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8" w15:restartNumberingAfterBreak="0">
    <w:nsid w:val="5D5D722D"/>
    <w:multiLevelType w:val="multilevel"/>
    <w:tmpl w:val="9E441C02"/>
    <w:lvl w:ilvl="0">
      <w:start w:val="1"/>
      <w:numFmt w:val="decimal"/>
      <w:lvlText w:val="%1."/>
      <w:lvlJc w:val="left"/>
      <w:pPr>
        <w:ind w:left="1842" w:hanging="1275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186" w:hanging="1335"/>
      </w:pPr>
    </w:lvl>
    <w:lvl w:ilvl="3">
      <w:start w:val="1"/>
      <w:numFmt w:val="decimal"/>
      <w:isLgl/>
      <w:lvlText w:val="%1.%2.%3.%4."/>
      <w:lvlJc w:val="left"/>
      <w:pPr>
        <w:ind w:left="2328" w:hanging="1335"/>
      </w:pPr>
    </w:lvl>
    <w:lvl w:ilvl="4">
      <w:start w:val="1"/>
      <w:numFmt w:val="decimal"/>
      <w:isLgl/>
      <w:lvlText w:val="%1.%2.%3.%4.%5."/>
      <w:lvlJc w:val="left"/>
      <w:pPr>
        <w:ind w:left="2470" w:hanging="1335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9" w15:restartNumberingAfterBreak="0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7947742F"/>
    <w:multiLevelType w:val="hybridMultilevel"/>
    <w:tmpl w:val="EA82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D2E55"/>
    <w:multiLevelType w:val="hybridMultilevel"/>
    <w:tmpl w:val="EEC0047A"/>
    <w:lvl w:ilvl="0" w:tplc="63A4EE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637DD"/>
    <w:rsid w:val="00082C1D"/>
    <w:rsid w:val="00083071"/>
    <w:rsid w:val="000A0479"/>
    <w:rsid w:val="000A08ED"/>
    <w:rsid w:val="000A367A"/>
    <w:rsid w:val="000A65CD"/>
    <w:rsid w:val="000B156E"/>
    <w:rsid w:val="000F16DC"/>
    <w:rsid w:val="001047B8"/>
    <w:rsid w:val="00106005"/>
    <w:rsid w:val="00112F3D"/>
    <w:rsid w:val="0014526C"/>
    <w:rsid w:val="001501CE"/>
    <w:rsid w:val="00160D80"/>
    <w:rsid w:val="001A0C02"/>
    <w:rsid w:val="001C62A1"/>
    <w:rsid w:val="001E3BB8"/>
    <w:rsid w:val="002033F1"/>
    <w:rsid w:val="002376B6"/>
    <w:rsid w:val="002622DE"/>
    <w:rsid w:val="00275D2C"/>
    <w:rsid w:val="00280285"/>
    <w:rsid w:val="00294EFD"/>
    <w:rsid w:val="002D00C9"/>
    <w:rsid w:val="00352118"/>
    <w:rsid w:val="003604DF"/>
    <w:rsid w:val="00364284"/>
    <w:rsid w:val="003933BA"/>
    <w:rsid w:val="003952C1"/>
    <w:rsid w:val="00396BF2"/>
    <w:rsid w:val="003B50BB"/>
    <w:rsid w:val="003D1823"/>
    <w:rsid w:val="003D6B51"/>
    <w:rsid w:val="003F1370"/>
    <w:rsid w:val="00402032"/>
    <w:rsid w:val="00464A2D"/>
    <w:rsid w:val="004705B8"/>
    <w:rsid w:val="00472D1D"/>
    <w:rsid w:val="00480296"/>
    <w:rsid w:val="004B5396"/>
    <w:rsid w:val="004F5770"/>
    <w:rsid w:val="00515613"/>
    <w:rsid w:val="00517069"/>
    <w:rsid w:val="00534367"/>
    <w:rsid w:val="005445C3"/>
    <w:rsid w:val="00566747"/>
    <w:rsid w:val="00585F45"/>
    <w:rsid w:val="005B47F8"/>
    <w:rsid w:val="006011C4"/>
    <w:rsid w:val="0060503A"/>
    <w:rsid w:val="00623559"/>
    <w:rsid w:val="006243B2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E63FC"/>
    <w:rsid w:val="006F492F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A04A47"/>
    <w:rsid w:val="00A06FC1"/>
    <w:rsid w:val="00A4071A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6736F"/>
    <w:rsid w:val="00DB416A"/>
    <w:rsid w:val="00DD211C"/>
    <w:rsid w:val="00E5351E"/>
    <w:rsid w:val="00E80CC9"/>
    <w:rsid w:val="00EB5419"/>
    <w:rsid w:val="00EC6992"/>
    <w:rsid w:val="00F236E6"/>
    <w:rsid w:val="00F45443"/>
    <w:rsid w:val="00F46D83"/>
    <w:rsid w:val="00F5453B"/>
    <w:rsid w:val="00F64495"/>
    <w:rsid w:val="00F70C72"/>
    <w:rsid w:val="00F72784"/>
    <w:rsid w:val="00F72BAA"/>
    <w:rsid w:val="00F832B2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32CF"/>
  <w15:chartTrackingRefBased/>
  <w15:docId w15:val="{8C5DDF69-AE37-46ED-B9EC-94225BB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661E2-7AA0-4149-8839-CA1572A16FD2}"/>
</file>

<file path=customXml/itemProps2.xml><?xml version="1.0" encoding="utf-8"?>
<ds:datastoreItem xmlns:ds="http://schemas.openxmlformats.org/officeDocument/2006/customXml" ds:itemID="{5E6B15EA-0452-4AA3-9E26-C74AB5D0FFAA}"/>
</file>

<file path=customXml/itemProps3.xml><?xml version="1.0" encoding="utf-8"?>
<ds:datastoreItem xmlns:ds="http://schemas.openxmlformats.org/officeDocument/2006/customXml" ds:itemID="{CE6DD6A7-715C-4AD0-8418-7074D411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1752</Words>
  <Characters>13249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Караулова Лариса Евгеньевна</cp:lastModifiedBy>
  <cp:revision>5</cp:revision>
  <cp:lastPrinted>2012-03-21T05:48:00Z</cp:lastPrinted>
  <dcterms:created xsi:type="dcterms:W3CDTF">2018-01-17T18:10:00Z</dcterms:created>
  <dcterms:modified xsi:type="dcterms:W3CDTF">2018-01-17T19:41:00Z</dcterms:modified>
</cp:coreProperties>
</file>