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ежегодном городском конкурсе «Лучшее новогоднее оформление объектов 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торговли, общественного питания и сферы услуг»  </w:t>
      </w:r>
    </w:p>
    <w:p w:rsidR="00F07963" w:rsidRPr="00F07963" w:rsidRDefault="00F07963" w:rsidP="00F0796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1. Настоящее Положение определяет цели, условия проведения и порядок определения победителей ежегодного городского конкурса «Лучшее новогоднее оформление объектов торговли, общественного питания и сферы услуг» (далее - конкурс).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2. Цели конкурса - создание праздничного облика Волгограда в период проведения новогодних праздников, повышение эстетичной выразительности фасадов, входных зон, интерьеров объектов торговли, общественного питания и сферы услуг.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3. Организатором конкурса является </w:t>
      </w:r>
      <w:r w:rsidR="001C712A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и инвестиций </w:t>
      </w:r>
      <w:r w:rsidR="001C712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 Волгограда (далее - организатор конкурса).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4. Конкурс проводится по следующим номинациям: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1) «Витрин чудесное мерцание» на лучшее новогоднее оформление окон, витрин, витражей среди следующих объектов торговли, общественного питания и сферы услуг: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стационарный торговый объект;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нестационарный торговый объект;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объект общественного питания (ресторан, кафе, бар, столовая);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объект сферы услуг;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ярмарка, рынок.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2) «В преддверии чудес» на лучшее новогоднее оформление входной группы, прилегающей территории, парковки  к объектам среди следующих объектов торговли, общественного питания и сферы услуг: 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стационарный торговый объект;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нестационарный торговый объект;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объект общественного питания (ресторан, кафе, бар, столовая);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объект сферы услуг;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ярмарка, рынок.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3) «Зимняя феерия» на лучшее комплексное новогоднее оформление объекта торговли, общественного питания и сферы услуг среди следующих объектов торговли, общественного питания и сферы услуг: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стационарный торговый объект;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нестационарный торговый объект;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объект общественного питания (ресторан, кафе, бар, столовая);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объект сферы услуг;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- ярмарка, рынок.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5. Рекомендации по оформлению объектов и территорий.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Оформление фасадов, входных групп, витражей и окон объектов рекомендовано выполнять с подсветкой с ненаправленным рассеянным источником освещения, а также в виде </w:t>
      </w:r>
      <w:proofErr w:type="spellStart"/>
      <w:r w:rsidRPr="00F07963">
        <w:rPr>
          <w:rFonts w:ascii="Times New Roman" w:eastAsia="Calibri" w:hAnsi="Times New Roman" w:cs="Times New Roman"/>
          <w:sz w:val="28"/>
          <w:szCs w:val="28"/>
        </w:rPr>
        <w:t>светодинамического</w:t>
      </w:r>
      <w:proofErr w:type="spellEnd"/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</w:t>
      </w:r>
      <w:r w:rsidRPr="00F079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оформления (проекторы, лазеры, направленные на землю), световых инсталляций,              </w:t>
      </w:r>
      <w:proofErr w:type="spellStart"/>
      <w:r w:rsidRPr="00F07963">
        <w:rPr>
          <w:rFonts w:ascii="Times New Roman" w:eastAsia="Calibri" w:hAnsi="Times New Roman" w:cs="Times New Roman"/>
          <w:sz w:val="28"/>
          <w:szCs w:val="28"/>
        </w:rPr>
        <w:t>видеомэппинга</w:t>
      </w:r>
      <w:proofErr w:type="spellEnd"/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 или других источников света, создающих достаточный уровень освещенности, необходимый для восприятия в вечернее и ночное время.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Возможно использование односторонних растяжек, выполненных путем печати на баннерной ткани или сетке (с размещением новогодних поздравлений), не закрывающих оконные проемы и не нарушающих восприятие средств уличных коммуникаций, а также витринное оформление с использованием световых гирлянд, световых шнуров (</w:t>
      </w:r>
      <w:proofErr w:type="spellStart"/>
      <w:r w:rsidRPr="00F07963">
        <w:rPr>
          <w:rFonts w:ascii="Times New Roman" w:eastAsia="Calibri" w:hAnsi="Times New Roman" w:cs="Times New Roman"/>
          <w:sz w:val="28"/>
          <w:szCs w:val="28"/>
        </w:rPr>
        <w:t>дюралайт</w:t>
      </w:r>
      <w:proofErr w:type="spellEnd"/>
      <w:r w:rsidRPr="00F07963">
        <w:rPr>
          <w:rFonts w:ascii="Times New Roman" w:eastAsia="Calibri" w:hAnsi="Times New Roman" w:cs="Times New Roman"/>
          <w:sz w:val="28"/>
          <w:szCs w:val="28"/>
        </w:rPr>
        <w:t>), декоративных шаров, фигур с символикой Нового года.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Оформление прилегающей территории может включать оформление деревьев световой сеткой или специальным световым дождем, различными светящимися украшениями, установку тематических малых архитектурных форм и элементов, изготовление снежных или ледяных объемных фигур, установку искусственных или натуральных елей.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В случае отсутствия деревьев на прилегающей территории желательно обеспечить праздничную подсветку входной группы и площадки.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6. В конкурсе могут принять участие организации независимо от организационно-правовых форм и форм собственности, индивидуальные предприниматели, включенные в реестр субъектов малого и среднего предпринимательства (далее - участники конкурса).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Участник конкурса может быть признан победителем в рамках конкурса не более одного раза только в одной номинации.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7. Заявка на участие в конкурсе (далее - заявка) оформляется по форме согласно приложению и направляется в администрацию района Волгограда в соответствии с местом нахождения объекта торговли, общественного питания и сферы услуг.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К заявке участник конкурса прилагает художественно оформленный альбом с фотографиями или цифровые фотографии в виде электронных файлов, С</w:t>
      </w:r>
      <w:proofErr w:type="gramStart"/>
      <w:r w:rsidRPr="00F07963">
        <w:rPr>
          <w:rFonts w:ascii="Times New Roman" w:eastAsia="Calibri" w:hAnsi="Times New Roman" w:cs="Times New Roman"/>
          <w:sz w:val="28"/>
          <w:szCs w:val="28"/>
        </w:rPr>
        <w:t>D</w:t>
      </w:r>
      <w:proofErr w:type="gramEnd"/>
      <w:r w:rsidRPr="00F07963">
        <w:rPr>
          <w:rFonts w:ascii="Times New Roman" w:eastAsia="Calibri" w:hAnsi="Times New Roman" w:cs="Times New Roman"/>
          <w:sz w:val="28"/>
          <w:szCs w:val="28"/>
        </w:rPr>
        <w:t>-диски (фотоматериалы новогоднего оформления зданий, входных групп, витражей; вид с расстояния 30 - 60 метров с прилегающей территорией; крупный план светового оформления; крупные элементы оформления). По желанию участник конкурса может приобщить к заявке дополнительные материалы (проведение культурных программ, в том числе с участием посетителей, благотворительных акций и мероприятий).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8. Конкурс проводится в период с 16 по 28 декабря в два этапа.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8.1. I этап конкурса проходит в районах Волгограда с 16 до 24 декабря.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Администрации районов Волгограда: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создают конкурсные комиссии по проведению I этапа конкурса;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проводят отбор двух участников конкурса, набравших наибольшее количество баллов в соответствии с критериями, изложенными в </w:t>
      </w:r>
      <w:hyperlink w:anchor="P65" w:history="1">
        <w:r w:rsidRPr="00F07963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пункте 9</w:t>
        </w:r>
      </w:hyperlink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по каждой номинации каждого вида объекта из общего числа участников конкурса;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до 22 декабря представляют организатору конкурса пакет документов, включающий: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протокол заседания конкурсной комиссии по проведению I этапа конкурса по каждой номинации с указанием двух лучших участников конкурса по итогам I этапа,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информационные материалы по каждому участнику, прошедшему отбор в I этапе конкурса: художественно оформленный альбом с фотографиями или цифровые фотографии в виде электронных файлов, С</w:t>
      </w:r>
      <w:proofErr w:type="gramStart"/>
      <w:r w:rsidRPr="00F07963">
        <w:rPr>
          <w:rFonts w:ascii="Times New Roman" w:eastAsia="Calibri" w:hAnsi="Times New Roman" w:cs="Times New Roman"/>
          <w:sz w:val="28"/>
          <w:szCs w:val="28"/>
        </w:rPr>
        <w:t>D</w:t>
      </w:r>
      <w:proofErr w:type="gramEnd"/>
      <w:r w:rsidRPr="00F07963">
        <w:rPr>
          <w:rFonts w:ascii="Times New Roman" w:eastAsia="Calibri" w:hAnsi="Times New Roman" w:cs="Times New Roman"/>
          <w:sz w:val="28"/>
          <w:szCs w:val="28"/>
        </w:rPr>
        <w:t>-диски (фотоматериалы новогоднего оформления зданий, входных групп, витражей; вид с расстояния 30 - 60 метров с прилегающей территорией; крупный план светового оформления; крупные элементы оформления), дополнительные материалы (проведение культурных программ, в том числе с участием посетителей, благотворительных акций и мероприятий).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8.2. II этап конкурса проводится среди участников, прошедших I этап конкурса,  с 25 по 28 декабря.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Конкурсная комиссия по проведению конкурса (далее - конкурсная комиссия) на основании представленных администрациями районов Волгограда документов и информационных материалов определяет победителей конкурса в соответствии с критериями, изложенными в </w:t>
      </w:r>
      <w:hyperlink w:anchor="P65" w:history="1">
        <w:r w:rsidRPr="00F07963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пункте 9</w:t>
        </w:r>
      </w:hyperlink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 каждой номинации из числа участников конкурса, представленных администрациями районов Волгограда.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65"/>
      <w:bookmarkEnd w:id="1"/>
      <w:r w:rsidRPr="00F07963">
        <w:rPr>
          <w:rFonts w:ascii="Times New Roman" w:eastAsia="Calibri" w:hAnsi="Times New Roman" w:cs="Times New Roman"/>
          <w:sz w:val="28"/>
          <w:szCs w:val="28"/>
        </w:rPr>
        <w:t>9. Критерии оценки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259"/>
        <w:gridCol w:w="1842"/>
      </w:tblGrid>
      <w:tr w:rsidR="00F07963" w:rsidRPr="00F07963" w:rsidTr="006B31D4">
        <w:tc>
          <w:tcPr>
            <w:tcW w:w="600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 участников конкурса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значение баллов</w:t>
            </w:r>
          </w:p>
        </w:tc>
      </w:tr>
      <w:tr w:rsidR="00F07963" w:rsidRPr="00F07963" w:rsidTr="006B31D4">
        <w:tc>
          <w:tcPr>
            <w:tcW w:w="600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«Витрин чудесное мерцание»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963" w:rsidRPr="00F07963" w:rsidTr="006B31D4">
        <w:tc>
          <w:tcPr>
            <w:tcW w:w="600" w:type="dxa"/>
            <w:vMerge w:val="restart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Световое оформление витрин, окон, витражей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07963" w:rsidRPr="00F07963" w:rsidTr="006B31D4">
        <w:tc>
          <w:tcPr>
            <w:tcW w:w="600" w:type="dxa"/>
            <w:vMerge/>
          </w:tcPr>
          <w:p w:rsidR="00F07963" w:rsidRPr="00F07963" w:rsidRDefault="00F07963" w:rsidP="00F0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световых фигур, новогодних композиций  в оформлении витрин, окон, витражей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07963" w:rsidRPr="00F07963" w:rsidTr="006B31D4">
        <w:tc>
          <w:tcPr>
            <w:tcW w:w="600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«В преддверии чудес»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963" w:rsidRPr="00F07963" w:rsidTr="006B31D4">
        <w:tc>
          <w:tcPr>
            <w:tcW w:w="600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Оформление, в том числе световое, прилегающей территории (наличие новогодней атрибутики: новогодних елок, фигур сказочных и новогодних персонажей, детских новогодних городков)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07963" w:rsidRPr="00F07963" w:rsidTr="006B31D4">
        <w:tc>
          <w:tcPr>
            <w:tcW w:w="600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светодиодной сеткой, дождем крон деревьев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07963" w:rsidRPr="00F07963" w:rsidTr="006B31D4">
        <w:tc>
          <w:tcPr>
            <w:tcW w:w="600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фотозон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07963" w:rsidRPr="00F07963" w:rsidTr="006B31D4">
        <w:tc>
          <w:tcPr>
            <w:tcW w:w="600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«Зимняя феерия»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963" w:rsidRPr="00F07963" w:rsidTr="006B31D4">
        <w:tc>
          <w:tcPr>
            <w:tcW w:w="600" w:type="dxa"/>
            <w:vMerge w:val="restart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Световое оформление витрин, окон, витражей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07963" w:rsidRPr="00F07963" w:rsidTr="006B31D4">
        <w:tc>
          <w:tcPr>
            <w:tcW w:w="600" w:type="dxa"/>
            <w:vMerge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Оформление, в том числе световое, прилегающей территории (наличие новогодней атрибутики: новогодних елок, фигур сказочных и новогодних персонажей, детских новогодних городков)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07963" w:rsidRPr="00F07963" w:rsidTr="006B31D4">
        <w:tc>
          <w:tcPr>
            <w:tcW w:w="600" w:type="dxa"/>
            <w:vMerge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Декоративно-художественное и световое оформление интерьеров помещений в новогодней тематике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07963" w:rsidRPr="00F07963" w:rsidTr="006B31D4">
        <w:tc>
          <w:tcPr>
            <w:tcW w:w="600" w:type="dxa"/>
            <w:vMerge/>
          </w:tcPr>
          <w:p w:rsidR="00F07963" w:rsidRPr="00F07963" w:rsidRDefault="00F07963" w:rsidP="00F0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фотозон</w:t>
            </w:r>
          </w:p>
        </w:tc>
        <w:tc>
          <w:tcPr>
            <w:tcW w:w="1842" w:type="dxa"/>
          </w:tcPr>
          <w:p w:rsidR="00F07963" w:rsidRPr="00F07963" w:rsidRDefault="00F07963" w:rsidP="00F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9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10. Подведение итогов конкурса и определение победителей по каждой номинации осуществляется конкурсной комиссией путем присвоения баллов в соответствии с критериями оценки участников конкурса, установленными пунктом 9 настоящего Положения. Заседание конкурсной комиссии правомочно, если на нем присутствуют не менее 2/3 ее членов.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11. Победителями признаются участники конкурса, набравшие наибольшее количество баллов.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12. По итогам конкурса в каждой номинации по каждому виду объекта конкурсной комиссией определяются участники конкурса, занявшие 1, 2, 3 места.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13. Решение конкурсной комиссии оформляется протоколом заседания конкурсной комиссии, который подписывается председателем конкурсной комиссии.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14. Не позднее 31 декабря информация о победителях конкурса размещается на официальном сайте администрации Волгограда в информационно-телекоммуникационной сети Интернет и освещается в муниципальных средствах массовой информации Волгограда.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6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Победители конкурса, занявшие 1, 2, 3 места, награждаются дипломами администрации Волгограда, сертификатами на размещение информации о деятельности победителей конкурса в муниципальных средствах массовой информации.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6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Награждение победителей проводится в торжественной обстановке.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0796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Организатор конкурса уведомляет победителей конкурса о проведении церемонии награждения не менее чем за два рабочих дня до дня проведения церемонии награждения.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18. Финансирование конкурса осуществляется администрацией  </w:t>
      </w:r>
      <w:proofErr w:type="gramStart"/>
      <w:r w:rsidRPr="00F07963">
        <w:rPr>
          <w:rFonts w:ascii="Times New Roman" w:eastAsia="Calibri" w:hAnsi="Times New Roman" w:cs="Times New Roman"/>
          <w:sz w:val="28"/>
          <w:szCs w:val="28"/>
        </w:rPr>
        <w:t>Волго-града</w:t>
      </w:r>
      <w:proofErr w:type="gramEnd"/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 за счет средств, предусмотренных в бюджете Волгограда на соответствующий год на реализацию мероприятий муниципальной программы «Развитие инвестиционной и предпринимательской деятельности в Волгограде», утвержденной постановлением администрации Волгограда от 29.12.2018 № 1893 «Об утверждении муниципальной программы «Развитие инвестиционной и предпринимательской деятельности в Волгограде». 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 </w:t>
      </w:r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gramStart"/>
      <w:r w:rsidRPr="00F07963">
        <w:rPr>
          <w:rFonts w:ascii="Times New Roman" w:eastAsia="Calibri" w:hAnsi="Times New Roman" w:cs="Times New Roman"/>
          <w:sz w:val="28"/>
          <w:szCs w:val="28"/>
        </w:rPr>
        <w:t>экономического</w:t>
      </w:r>
      <w:proofErr w:type="gramEnd"/>
    </w:p>
    <w:p w:rsidR="00F07963" w:rsidRPr="00F07963" w:rsidRDefault="00F07963" w:rsidP="00F07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7963">
        <w:rPr>
          <w:rFonts w:ascii="Times New Roman" w:eastAsia="Calibri" w:hAnsi="Times New Roman" w:cs="Times New Roman"/>
          <w:sz w:val="28"/>
          <w:szCs w:val="28"/>
        </w:rPr>
        <w:t>развития и инвестиций</w:t>
      </w:r>
    </w:p>
    <w:p w:rsidR="00BF40CB" w:rsidRDefault="00F07963" w:rsidP="00F07963">
      <w:pPr>
        <w:autoSpaceDE w:val="0"/>
        <w:autoSpaceDN w:val="0"/>
        <w:adjustRightInd w:val="0"/>
        <w:spacing w:after="0" w:line="240" w:lineRule="auto"/>
        <w:jc w:val="right"/>
      </w:pPr>
      <w:r w:rsidRPr="00F07963">
        <w:rPr>
          <w:rFonts w:ascii="Times New Roman" w:eastAsia="Calibri" w:hAnsi="Times New Roman" w:cs="Times New Roman"/>
          <w:sz w:val="28"/>
          <w:szCs w:val="28"/>
        </w:rPr>
        <w:t>аппарата главы Волгограда</w:t>
      </w:r>
    </w:p>
    <w:sectPr w:rsidR="00BF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63"/>
    <w:rsid w:val="001C712A"/>
    <w:rsid w:val="00BB01D6"/>
    <w:rsid w:val="00BF40CB"/>
    <w:rsid w:val="00F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22717-BF67-43A8-917C-A6F634AA85E6}"/>
</file>

<file path=customXml/itemProps2.xml><?xml version="1.0" encoding="utf-8"?>
<ds:datastoreItem xmlns:ds="http://schemas.openxmlformats.org/officeDocument/2006/customXml" ds:itemID="{25F7E014-F60D-437F-88F3-405AB05732C6}"/>
</file>

<file path=customXml/itemProps3.xml><?xml version="1.0" encoding="utf-8"?>
<ds:datastoreItem xmlns:ds="http://schemas.openxmlformats.org/officeDocument/2006/customXml" ds:itemID="{48474540-6E02-4750-B31F-8F090260A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Степанова Наталия Васильевна</cp:lastModifiedBy>
  <cp:revision>4</cp:revision>
  <dcterms:created xsi:type="dcterms:W3CDTF">2021-12-03T11:48:00Z</dcterms:created>
  <dcterms:modified xsi:type="dcterms:W3CDTF">2023-12-07T07:15:00Z</dcterms:modified>
</cp:coreProperties>
</file>