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A00C4">
        <w:rPr>
          <w:sz w:val="28"/>
          <w:szCs w:val="28"/>
        </w:rPr>
        <w:t>2</w:t>
      </w:r>
      <w:r w:rsidR="006C7F23">
        <w:rPr>
          <w:sz w:val="28"/>
          <w:szCs w:val="28"/>
        </w:rPr>
        <w:t>8</w:t>
      </w:r>
      <w:r w:rsidR="001A00C4">
        <w:rPr>
          <w:sz w:val="28"/>
          <w:szCs w:val="28"/>
        </w:rPr>
        <w:t xml:space="preserve">.05.2019 </w:t>
      </w:r>
      <w:r w:rsidRPr="00CC0C29">
        <w:rPr>
          <w:sz w:val="28"/>
          <w:szCs w:val="28"/>
        </w:rPr>
        <w:t xml:space="preserve"> №</w:t>
      </w:r>
      <w:r w:rsidR="001A00C4">
        <w:rPr>
          <w:sz w:val="28"/>
          <w:szCs w:val="28"/>
        </w:rPr>
        <w:t xml:space="preserve"> 158-п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 w:right="4818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О назначении и проведении публичных слушаний по проекту решения о предо</w:t>
      </w:r>
      <w:r>
        <w:rPr>
          <w:sz w:val="28"/>
          <w:szCs w:val="28"/>
        </w:rPr>
        <w:softHyphen/>
      </w:r>
      <w:r w:rsidRPr="00646794">
        <w:rPr>
          <w:sz w:val="28"/>
          <w:szCs w:val="28"/>
        </w:rPr>
        <w:t xml:space="preserve">ставлении разрешения на отклонение </w:t>
      </w:r>
      <w:r>
        <w:rPr>
          <w:sz w:val="28"/>
          <w:szCs w:val="28"/>
        </w:rPr>
        <w:br/>
      </w:r>
      <w:r w:rsidRPr="00646794">
        <w:rPr>
          <w:spacing w:val="-4"/>
          <w:sz w:val="28"/>
          <w:szCs w:val="28"/>
        </w:rPr>
        <w:t>от предельных параметров разрешенного</w:t>
      </w:r>
      <w:r w:rsidRPr="00646794">
        <w:rPr>
          <w:sz w:val="28"/>
          <w:szCs w:val="28"/>
        </w:rPr>
        <w:t xml:space="preserve"> строительства объекта капитального строительства</w:t>
      </w: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или публичных слушаний в городском округе город-герой Волгоград, принятым решением Волгоградской городской Думы </w:t>
      </w:r>
      <w:r w:rsidRPr="00646794">
        <w:rPr>
          <w:sz w:val="28"/>
          <w:szCs w:val="28"/>
        </w:rPr>
        <w:br/>
        <w:t xml:space="preserve">от 21 февраля 2007 г. № 41/1011 «О </w:t>
      </w:r>
      <w:proofErr w:type="gramStart"/>
      <w:r w:rsidRPr="00646794">
        <w:rPr>
          <w:sz w:val="28"/>
          <w:szCs w:val="28"/>
        </w:rPr>
        <w:t>Положении</w:t>
      </w:r>
      <w:proofErr w:type="gramEnd"/>
      <w:r w:rsidRPr="00646794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постановлением администрации Волгограда </w:t>
      </w:r>
      <w:r w:rsidRPr="00646794">
        <w:rPr>
          <w:sz w:val="28"/>
          <w:szCs w:val="28"/>
        </w:rPr>
        <w:br/>
        <w:t xml:space="preserve">от 04 </w:t>
      </w:r>
      <w:proofErr w:type="gramStart"/>
      <w:r w:rsidRPr="00646794">
        <w:rPr>
          <w:sz w:val="28"/>
          <w:szCs w:val="28"/>
        </w:rPr>
        <w:t xml:space="preserve">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646794">
        <w:rPr>
          <w:sz w:val="28"/>
          <w:szCs w:val="28"/>
        </w:rPr>
        <w:t>Гищенко</w:t>
      </w:r>
      <w:proofErr w:type="spellEnd"/>
      <w:r w:rsidRPr="00646794">
        <w:rPr>
          <w:sz w:val="28"/>
          <w:szCs w:val="28"/>
        </w:rPr>
        <w:t xml:space="preserve"> Владимира Афанасьевича от 08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мая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2019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г.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б/н, руководствуясь поста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>новлением главы Волгограда от 16 октября 2018 г. № 20-п «О распределении обязанностей в администрации Волгограда», статьями 16, 29 Устава города-героя Волгограда,</w:t>
      </w:r>
      <w:proofErr w:type="gramEnd"/>
    </w:p>
    <w:p w:rsidR="00646794" w:rsidRPr="00646794" w:rsidRDefault="00646794" w:rsidP="00646794">
      <w:pPr>
        <w:ind w:left="567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>ПОСТАНОВЛЯЮ: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1. Назначить 25 июня 2019 г. в 18.00 час</w:t>
      </w:r>
      <w:proofErr w:type="gramStart"/>
      <w:r w:rsidRPr="00646794">
        <w:rPr>
          <w:sz w:val="28"/>
          <w:szCs w:val="28"/>
        </w:rPr>
        <w:t>.</w:t>
      </w:r>
      <w:proofErr w:type="gramEnd"/>
      <w:r w:rsidRPr="00646794">
        <w:rPr>
          <w:sz w:val="28"/>
          <w:szCs w:val="28"/>
        </w:rPr>
        <w:t xml:space="preserve"> </w:t>
      </w:r>
      <w:proofErr w:type="gramStart"/>
      <w:r w:rsidRPr="00646794">
        <w:rPr>
          <w:sz w:val="28"/>
          <w:szCs w:val="28"/>
        </w:rPr>
        <w:t>с</w:t>
      </w:r>
      <w:proofErr w:type="gramEnd"/>
      <w:r w:rsidRPr="00646794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646794">
        <w:rPr>
          <w:sz w:val="28"/>
          <w:szCs w:val="28"/>
        </w:rPr>
        <w:t>Гищенко</w:t>
      </w:r>
      <w:proofErr w:type="spellEnd"/>
      <w:r w:rsidRPr="00646794">
        <w:rPr>
          <w:sz w:val="28"/>
          <w:szCs w:val="28"/>
        </w:rPr>
        <w:t xml:space="preserve"> Владимиру Афанасьевичу разрешения на отклонение от предельных параметров разре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 xml:space="preserve">шенного строительства объекта капитального строительства – оздоровительного центра на земельном участке с кадастровым № 34:34:030125:121 по </w:t>
      </w:r>
      <w:r w:rsidRPr="00646794">
        <w:rPr>
          <w:bCs/>
          <w:sz w:val="28"/>
          <w:szCs w:val="28"/>
        </w:rPr>
        <w:t xml:space="preserve">ул. </w:t>
      </w:r>
      <w:proofErr w:type="spellStart"/>
      <w:r w:rsidRPr="00646794">
        <w:rPr>
          <w:bCs/>
          <w:sz w:val="28"/>
          <w:szCs w:val="28"/>
        </w:rPr>
        <w:t>Енотаевской</w:t>
      </w:r>
      <w:proofErr w:type="spellEnd"/>
      <w:r w:rsidRPr="00646794">
        <w:rPr>
          <w:bCs/>
          <w:sz w:val="28"/>
          <w:szCs w:val="28"/>
        </w:rPr>
        <w:t xml:space="preserve">, 1 </w:t>
      </w:r>
      <w:r w:rsidRPr="00646794">
        <w:rPr>
          <w:sz w:val="28"/>
          <w:szCs w:val="28"/>
        </w:rPr>
        <w:t>в Дзержинском районе Волгограда в части: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уменьшения минимальных отступов от границ земельного участка </w:t>
      </w:r>
      <w:r w:rsidR="009407CB">
        <w:rPr>
          <w:sz w:val="28"/>
          <w:szCs w:val="28"/>
        </w:rPr>
        <w:br/>
      </w:r>
      <w:r w:rsidRPr="00646794"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по северо-западной границе с 3 м до 1,5 м,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по юго-восточной границе с 3 м до 1,5 м</w:t>
      </w:r>
      <w:r w:rsidR="00FD1081">
        <w:rPr>
          <w:sz w:val="28"/>
          <w:szCs w:val="28"/>
        </w:rPr>
        <w:t>;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lastRenderedPageBreak/>
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="00FD1081">
        <w:rPr>
          <w:sz w:val="28"/>
          <w:szCs w:val="28"/>
        </w:rPr>
        <w:t>,</w:t>
      </w:r>
      <w:r w:rsidRPr="00646794">
        <w:rPr>
          <w:sz w:val="28"/>
          <w:szCs w:val="28"/>
        </w:rPr>
        <w:t xml:space="preserve"> с 50% </w:t>
      </w:r>
      <w:r w:rsidR="009407CB">
        <w:rPr>
          <w:sz w:val="28"/>
          <w:szCs w:val="28"/>
        </w:rPr>
        <w:br/>
      </w:r>
      <w:r w:rsidR="00FD1081">
        <w:rPr>
          <w:sz w:val="28"/>
          <w:szCs w:val="28"/>
        </w:rPr>
        <w:t>до 67,4%;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уменьшения минимальной доли озелененной территории з</w:t>
      </w:r>
      <w:r w:rsidR="00FD1081">
        <w:rPr>
          <w:sz w:val="28"/>
          <w:szCs w:val="28"/>
        </w:rPr>
        <w:t>емельного участка с 15% до 7,7%;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уменьшения минимального количества мест для хранения индивидуаль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 xml:space="preserve">ного автотранспорта на территории земельного участка с 2 мест до 1 места </w:t>
      </w:r>
      <w:r w:rsidR="009407CB">
        <w:rPr>
          <w:sz w:val="28"/>
          <w:szCs w:val="28"/>
        </w:rPr>
        <w:br/>
      </w:r>
      <w:r w:rsidRPr="00646794">
        <w:rPr>
          <w:sz w:val="28"/>
          <w:szCs w:val="28"/>
        </w:rPr>
        <w:t>(далее – проект решения).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46794">
        <w:rPr>
          <w:sz w:val="28"/>
          <w:szCs w:val="28"/>
        </w:rPr>
        <w:t>Провести собрание участников публичных слушаний по проекту решения в зале муниципального бюджетного учреждения культуры «Культурно-досуговый комплекс «21 век» Дзержинского района Волгограда, расположен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>ного по адресу: 400094, Волгоград, ул. им. Савкина, 8.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9407CB">
        <w:rPr>
          <w:spacing w:val="-4"/>
          <w:sz w:val="28"/>
          <w:szCs w:val="28"/>
        </w:rPr>
        <w:t>3. Возложить обеспечение организации и проведения публичных слушани</w:t>
      </w:r>
      <w:r w:rsidRPr="00646794">
        <w:rPr>
          <w:sz w:val="28"/>
          <w:szCs w:val="28"/>
        </w:rPr>
        <w:t xml:space="preserve">й по проекту решения на администрацию Дзержинского района Волгограда. 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46794">
        <w:rPr>
          <w:sz w:val="28"/>
          <w:szCs w:val="28"/>
        </w:rPr>
        <w:t>Назначить председательствующим на публичных слушаниях по проекту решения Варламов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Александр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Юрьевич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– заместителя главы администрации Дзержинского района Волгограда, секретарем публичных слушаний по проекту решения Коротков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Михаил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Анатольевич</w:t>
      </w:r>
      <w:r w:rsidR="00FD1081">
        <w:rPr>
          <w:sz w:val="28"/>
          <w:szCs w:val="28"/>
        </w:rPr>
        <w:t xml:space="preserve">а – заместителя </w:t>
      </w:r>
      <w:r w:rsidRPr="00646794">
        <w:rPr>
          <w:sz w:val="28"/>
          <w:szCs w:val="28"/>
        </w:rPr>
        <w:t>начальника отдела градостроительства и землепользования администрации Дзержинского района Волгограда.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646794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062D6E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646794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AA0FE4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по проекту решения, месте и сроке представления предложений и замечаний по</w:t>
      </w:r>
      <w:proofErr w:type="gramEnd"/>
      <w:r w:rsidRPr="00646794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6. Администрации Дзержинского района Волгограда обеспечить: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6.1. </w:t>
      </w:r>
      <w:proofErr w:type="gramStart"/>
      <w:r w:rsidRPr="00646794">
        <w:rPr>
          <w:sz w:val="28"/>
          <w:szCs w:val="28"/>
        </w:rPr>
        <w:t>Оповещение граждан, постоянно проживающих в пределах террито</w:t>
      </w:r>
      <w:r w:rsidRPr="00646794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646794">
        <w:rPr>
          <w:sz w:val="28"/>
          <w:szCs w:val="28"/>
        </w:rPr>
        <w:t xml:space="preserve"> </w:t>
      </w:r>
      <w:proofErr w:type="gramStart"/>
      <w:r w:rsidRPr="00646794">
        <w:rPr>
          <w:sz w:val="28"/>
          <w:szCs w:val="28"/>
        </w:rPr>
        <w:t xml:space="preserve"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</w:t>
      </w:r>
      <w:r w:rsidRPr="00646794">
        <w:rPr>
          <w:sz w:val="28"/>
          <w:szCs w:val="28"/>
        </w:rPr>
        <w:lastRenderedPageBreak/>
        <w:t>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646794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</w:t>
      </w:r>
      <w:r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6.2. Открытие и проведение экспозиции проекта решения с 10 по 21 июня 2019 г. с 10.00 час</w:t>
      </w:r>
      <w:proofErr w:type="gramStart"/>
      <w:r w:rsidRPr="00646794">
        <w:rPr>
          <w:sz w:val="28"/>
          <w:szCs w:val="28"/>
        </w:rPr>
        <w:t>.</w:t>
      </w:r>
      <w:proofErr w:type="gramEnd"/>
      <w:r w:rsidRPr="00646794">
        <w:rPr>
          <w:sz w:val="28"/>
          <w:szCs w:val="28"/>
        </w:rPr>
        <w:t xml:space="preserve"> </w:t>
      </w:r>
      <w:proofErr w:type="gramStart"/>
      <w:r w:rsidRPr="00646794">
        <w:rPr>
          <w:sz w:val="28"/>
          <w:szCs w:val="28"/>
        </w:rPr>
        <w:t>д</w:t>
      </w:r>
      <w:proofErr w:type="gramEnd"/>
      <w:r w:rsidRPr="00646794">
        <w:rPr>
          <w:sz w:val="28"/>
          <w:szCs w:val="28"/>
        </w:rPr>
        <w:t xml:space="preserve">о 12.00 час. в рабочие дни по адресу: 400075, Волгоград, </w:t>
      </w:r>
      <w:r>
        <w:rPr>
          <w:sz w:val="28"/>
          <w:szCs w:val="28"/>
        </w:rPr>
        <w:br/>
      </w:r>
      <w:r w:rsidRPr="00646794">
        <w:rPr>
          <w:sz w:val="28"/>
          <w:szCs w:val="28"/>
        </w:rPr>
        <w:t>ул. Историческая, 122.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7. </w:t>
      </w:r>
      <w:proofErr w:type="gramStart"/>
      <w:r w:rsidRPr="00646794">
        <w:rPr>
          <w:sz w:val="28"/>
          <w:szCs w:val="28"/>
        </w:rPr>
        <w:t xml:space="preserve">Участникам публичных слушаний до 21 июня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</w:t>
      </w:r>
      <w:r w:rsidR="00062D6E">
        <w:rPr>
          <w:sz w:val="28"/>
          <w:szCs w:val="28"/>
        </w:rPr>
        <w:br/>
      </w:r>
      <w:r w:rsidRPr="00646794">
        <w:rPr>
          <w:sz w:val="28"/>
          <w:szCs w:val="28"/>
        </w:rPr>
        <w:t xml:space="preserve">и застройки городского округа город-герой Волгоград», по адресу: 400066, Волгоград, </w:t>
      </w:r>
      <w:proofErr w:type="spellStart"/>
      <w:r w:rsidRPr="00646794">
        <w:rPr>
          <w:sz w:val="28"/>
          <w:szCs w:val="28"/>
        </w:rPr>
        <w:t>пр-кт</w:t>
      </w:r>
      <w:proofErr w:type="spellEnd"/>
      <w:r w:rsidRPr="00646794">
        <w:rPr>
          <w:sz w:val="28"/>
          <w:szCs w:val="28"/>
        </w:rPr>
        <w:t xml:space="preserve"> им. </w:t>
      </w:r>
      <w:proofErr w:type="spellStart"/>
      <w:r w:rsidRPr="00646794">
        <w:rPr>
          <w:sz w:val="28"/>
          <w:szCs w:val="28"/>
        </w:rPr>
        <w:t>В.И.</w:t>
      </w:r>
      <w:proofErr w:type="gramEnd"/>
      <w:r w:rsidRPr="00646794">
        <w:rPr>
          <w:sz w:val="28"/>
          <w:szCs w:val="28"/>
        </w:rPr>
        <w:t>Ленина</w:t>
      </w:r>
      <w:proofErr w:type="spellEnd"/>
      <w:r w:rsidRPr="00646794">
        <w:rPr>
          <w:sz w:val="28"/>
          <w:szCs w:val="28"/>
        </w:rPr>
        <w:t>, 15 (4-й этаж, кабинет 427) и администрацию Дзержинского района Волгограда по адресу: 400075, Волгоград, ул. Истори</w:t>
      </w:r>
      <w:r w:rsidR="00062D6E">
        <w:rPr>
          <w:sz w:val="28"/>
          <w:szCs w:val="28"/>
        </w:rPr>
        <w:softHyphen/>
      </w:r>
      <w:r w:rsidRPr="00646794">
        <w:rPr>
          <w:sz w:val="28"/>
          <w:szCs w:val="28"/>
        </w:rPr>
        <w:t>ческая, 122.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8. </w:t>
      </w:r>
      <w:proofErr w:type="gramStart"/>
      <w:r w:rsidRPr="00646794">
        <w:rPr>
          <w:sz w:val="28"/>
          <w:szCs w:val="28"/>
        </w:rPr>
        <w:t>Контроль за</w:t>
      </w:r>
      <w:proofErr w:type="gramEnd"/>
      <w:r w:rsidRPr="006467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Default="00646794" w:rsidP="00646794">
      <w:pPr>
        <w:ind w:left="567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Заместитель главы </w:t>
      </w: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>
        <w:rPr>
          <w:sz w:val="28"/>
          <w:szCs w:val="28"/>
        </w:rPr>
        <w:t>В.П.</w:t>
      </w:r>
      <w:r w:rsidRPr="00646794">
        <w:rPr>
          <w:sz w:val="28"/>
          <w:szCs w:val="28"/>
        </w:rPr>
        <w:t>Сидоренко</w:t>
      </w:r>
      <w:proofErr w:type="spellEnd"/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Default="00646794" w:rsidP="00646794">
      <w:pPr>
        <w:ind w:left="567"/>
        <w:jc w:val="both"/>
        <w:rPr>
          <w:sz w:val="28"/>
          <w:szCs w:val="28"/>
        </w:rPr>
      </w:pPr>
    </w:p>
    <w:p w:rsidR="00923C42" w:rsidRPr="00646794" w:rsidRDefault="00923C42" w:rsidP="0064679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23C42" w:rsidRPr="00646794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87" w:rsidRDefault="00DE0287">
      <w:r>
        <w:separator/>
      </w:r>
    </w:p>
  </w:endnote>
  <w:endnote w:type="continuationSeparator" w:id="0">
    <w:p w:rsidR="00DE0287" w:rsidRDefault="00DE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87" w:rsidRDefault="00DE0287">
      <w:r>
        <w:separator/>
      </w:r>
    </w:p>
  </w:footnote>
  <w:footnote w:type="continuationSeparator" w:id="0">
    <w:p w:rsidR="00DE0287" w:rsidRDefault="00DE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FE4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2D6E"/>
    <w:rsid w:val="00063189"/>
    <w:rsid w:val="00065FD9"/>
    <w:rsid w:val="0007121B"/>
    <w:rsid w:val="000C38FD"/>
    <w:rsid w:val="00175C26"/>
    <w:rsid w:val="001A00C4"/>
    <w:rsid w:val="001A1ECF"/>
    <w:rsid w:val="001B76A0"/>
    <w:rsid w:val="001B7A1E"/>
    <w:rsid w:val="001C4912"/>
    <w:rsid w:val="001D0AC3"/>
    <w:rsid w:val="001E553F"/>
    <w:rsid w:val="001E70C2"/>
    <w:rsid w:val="002027E1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22307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46794"/>
    <w:rsid w:val="00695CB2"/>
    <w:rsid w:val="006C7F23"/>
    <w:rsid w:val="00701804"/>
    <w:rsid w:val="00754EF3"/>
    <w:rsid w:val="00756C88"/>
    <w:rsid w:val="0084621F"/>
    <w:rsid w:val="008807D6"/>
    <w:rsid w:val="00882E82"/>
    <w:rsid w:val="00886B2D"/>
    <w:rsid w:val="00891A26"/>
    <w:rsid w:val="00903CBD"/>
    <w:rsid w:val="00911236"/>
    <w:rsid w:val="00923C42"/>
    <w:rsid w:val="009407CB"/>
    <w:rsid w:val="00965D97"/>
    <w:rsid w:val="009F47DD"/>
    <w:rsid w:val="00A25D67"/>
    <w:rsid w:val="00A45225"/>
    <w:rsid w:val="00A614D9"/>
    <w:rsid w:val="00AA0FE4"/>
    <w:rsid w:val="00AE60D1"/>
    <w:rsid w:val="00AF4CE0"/>
    <w:rsid w:val="00B47415"/>
    <w:rsid w:val="00B541ED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F718F"/>
    <w:rsid w:val="00DE0287"/>
    <w:rsid w:val="00E171B4"/>
    <w:rsid w:val="00E21666"/>
    <w:rsid w:val="00E35E2D"/>
    <w:rsid w:val="00E42A8A"/>
    <w:rsid w:val="00E5580D"/>
    <w:rsid w:val="00E72A3D"/>
    <w:rsid w:val="00F236E6"/>
    <w:rsid w:val="00F2574D"/>
    <w:rsid w:val="00F90249"/>
    <w:rsid w:val="00FB2ABD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A0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A0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79F0A-D4B9-44BF-8085-7AC6D30EFEDF}"/>
</file>

<file path=customXml/itemProps2.xml><?xml version="1.0" encoding="utf-8"?>
<ds:datastoreItem xmlns:ds="http://schemas.openxmlformats.org/officeDocument/2006/customXml" ds:itemID="{DC6A0F2D-8E77-4C2E-BDD1-90B80314DEB2}"/>
</file>

<file path=customXml/itemProps3.xml><?xml version="1.0" encoding="utf-8"?>
<ds:datastoreItem xmlns:ds="http://schemas.openxmlformats.org/officeDocument/2006/customXml" ds:itemID="{146CB7FA-2C20-4875-88D6-67B88E873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2019-05-24T06:26:00Z</dcterms:created>
  <dcterms:modified xsi:type="dcterms:W3CDTF">2019-06-07T06:13:00Z</dcterms:modified>
</cp:coreProperties>
</file>